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4EF0EB">
      <w:pPr>
        <w:spacing w:after="0" w:line="820" w:lineRule="exact"/>
        <w:jc w:val="center"/>
        <w:rPr>
          <w:rFonts w:ascii="Times New Roman" w:hAnsi="Times New Roman" w:eastAsia="方正小标宋简体" w:cs="Times New Roman"/>
          <w:sz w:val="72"/>
          <w:szCs w:val="72"/>
          <w14:ligatures w14:val="none"/>
        </w:rPr>
      </w:pPr>
      <w:r>
        <w:rPr>
          <w:rFonts w:hint="eastAsia" w:ascii="Times New Roman" w:hAnsi="Times New Roman" w:eastAsia="方正小标宋简体" w:cs="Times New Roman"/>
          <w:sz w:val="72"/>
          <w:szCs w:val="72"/>
          <w14:ligatures w14:val="none"/>
        </w:rPr>
        <w:t>中国热带作物学会</w:t>
      </w:r>
      <w:r>
        <w:rPr>
          <w:rFonts w:ascii="Times New Roman" w:hAnsi="Times New Roman" w:eastAsia="方正小标宋简体" w:cs="Times New Roman"/>
          <w:sz w:val="72"/>
          <w:szCs w:val="72"/>
          <w14:ligatures w14:val="none"/>
        </w:rPr>
        <w:br w:type="textWrapping"/>
      </w:r>
      <w:r>
        <w:rPr>
          <w:rFonts w:hint="eastAsia" w:ascii="Times New Roman" w:hAnsi="Times New Roman" w:eastAsia="方正小标宋简体" w:cs="Times New Roman"/>
          <w:sz w:val="72"/>
          <w:szCs w:val="72"/>
          <w14:ligatures w14:val="none"/>
        </w:rPr>
        <w:t>团体</w:t>
      </w:r>
      <w:r>
        <w:rPr>
          <w:rFonts w:ascii="Times New Roman" w:hAnsi="Times New Roman" w:eastAsia="方正小标宋简体" w:cs="Times New Roman"/>
          <w:sz w:val="72"/>
          <w:szCs w:val="72"/>
          <w14:ligatures w14:val="none"/>
        </w:rPr>
        <w:t>标准</w:t>
      </w:r>
    </w:p>
    <w:p w14:paraId="327D2FC1">
      <w:pPr>
        <w:spacing w:after="0" w:line="820" w:lineRule="exact"/>
        <w:jc w:val="center"/>
        <w:rPr>
          <w:rFonts w:ascii="Times New Roman" w:hAnsi="Times New Roman" w:eastAsia="方正小标宋简体" w:cs="Times New Roman"/>
          <w:sz w:val="52"/>
          <w:szCs w:val="52"/>
          <w14:ligatures w14:val="none"/>
        </w:rPr>
      </w:pPr>
      <w:r>
        <w:rPr>
          <w:rFonts w:ascii="Times New Roman" w:hAnsi="Times New Roman" w:eastAsia="方正小标宋简体" w:cs="Times New Roman"/>
          <w:sz w:val="52"/>
          <w:szCs w:val="52"/>
          <w14:ligatures w14:val="none"/>
        </w:rPr>
        <w:t>《</w:t>
      </w:r>
      <w:r>
        <w:rPr>
          <w:rFonts w:hint="eastAsia" w:ascii="Times New Roman" w:hAnsi="Times New Roman" w:eastAsia="方正小标宋简体" w:cs="Times New Roman"/>
          <w:sz w:val="52"/>
          <w:szCs w:val="52"/>
          <w14:ligatures w14:val="none"/>
        </w:rPr>
        <w:t xml:space="preserve">天然生胶 </w:t>
      </w:r>
      <w:r>
        <w:rPr>
          <w:rFonts w:hint="eastAsia" w:ascii="Times New Roman" w:hAnsi="Times New Roman" w:eastAsia="方正小标宋简体" w:cs="Times New Roman"/>
          <w:sz w:val="52"/>
          <w:szCs w:val="52"/>
          <w:lang w:val="en-US" w:eastAsia="zh-CN"/>
          <w14:ligatures w14:val="none"/>
        </w:rPr>
        <w:t xml:space="preserve"> </w:t>
      </w:r>
      <w:r>
        <w:rPr>
          <w:rFonts w:hint="eastAsia" w:ascii="Times New Roman" w:hAnsi="Times New Roman" w:eastAsia="方正小标宋简体" w:cs="Times New Roman"/>
          <w:sz w:val="52"/>
          <w:szCs w:val="52"/>
          <w:u w:val="none"/>
          <w14:ligatures w14:val="none"/>
        </w:rPr>
        <w:t>重卡轮胎</w:t>
      </w:r>
      <w:r>
        <w:rPr>
          <w:rFonts w:hint="eastAsia" w:ascii="Times New Roman" w:hAnsi="Times New Roman" w:eastAsia="方正小标宋简体" w:cs="Times New Roman"/>
          <w:sz w:val="52"/>
          <w:szCs w:val="52"/>
          <w14:ligatures w14:val="none"/>
        </w:rPr>
        <w:t>标准橡胶</w:t>
      </w:r>
      <w:r>
        <w:rPr>
          <w:rFonts w:ascii="Times New Roman" w:hAnsi="Times New Roman" w:eastAsia="方正小标宋简体" w:cs="Times New Roman"/>
          <w:sz w:val="52"/>
          <w:szCs w:val="52"/>
          <w14:ligatures w14:val="none"/>
        </w:rPr>
        <w:t>》</w:t>
      </w:r>
    </w:p>
    <w:p w14:paraId="079DC46D">
      <w:pPr>
        <w:spacing w:after="0" w:line="820" w:lineRule="exact"/>
        <w:jc w:val="center"/>
        <w:rPr>
          <w:rFonts w:ascii="Times New Roman" w:hAnsi="Times New Roman" w:eastAsia="黑体" w:cs="Times New Roman"/>
          <w:sz w:val="48"/>
          <w:szCs w:val="48"/>
          <w14:ligatures w14:val="none"/>
        </w:rPr>
      </w:pPr>
    </w:p>
    <w:p w14:paraId="4A853DBF">
      <w:pPr>
        <w:spacing w:after="0" w:line="820" w:lineRule="exact"/>
        <w:jc w:val="center"/>
        <w:rPr>
          <w:rFonts w:ascii="Times New Roman" w:hAnsi="Times New Roman" w:eastAsia="黑体" w:cs="Times New Roman"/>
          <w:sz w:val="48"/>
          <w:szCs w:val="48"/>
          <w14:ligatures w14:val="none"/>
        </w:rPr>
      </w:pPr>
      <w:r>
        <w:rPr>
          <w:rFonts w:ascii="Times New Roman" w:hAnsi="Times New Roman" w:eastAsia="黑体" w:cs="Times New Roman"/>
          <w:sz w:val="48"/>
          <w:szCs w:val="48"/>
          <w14:ligatures w14:val="none"/>
        </w:rPr>
        <w:t>（</w:t>
      </w:r>
      <w:r>
        <w:rPr>
          <w:rFonts w:hint="eastAsia" w:ascii="Times New Roman" w:hAnsi="Times New Roman" w:eastAsia="黑体" w:cs="Times New Roman"/>
          <w:sz w:val="48"/>
          <w:szCs w:val="48"/>
          <w14:ligatures w14:val="none"/>
        </w:rPr>
        <w:t>征求意见稿</w:t>
      </w:r>
      <w:r>
        <w:rPr>
          <w:rFonts w:ascii="Times New Roman" w:hAnsi="Times New Roman" w:eastAsia="黑体" w:cs="Times New Roman"/>
          <w:sz w:val="48"/>
          <w:szCs w:val="48"/>
          <w14:ligatures w14:val="none"/>
        </w:rPr>
        <w:t>）</w:t>
      </w:r>
    </w:p>
    <w:p w14:paraId="749EB268">
      <w:pPr>
        <w:spacing w:after="0" w:line="820" w:lineRule="exact"/>
        <w:jc w:val="center"/>
        <w:rPr>
          <w:rFonts w:ascii="Times New Roman" w:hAnsi="Times New Roman" w:eastAsia="黑体" w:cs="Times New Roman"/>
          <w:sz w:val="48"/>
          <w:szCs w:val="48"/>
          <w14:ligatures w14:val="none"/>
        </w:rPr>
      </w:pPr>
    </w:p>
    <w:p w14:paraId="072F40D0">
      <w:pPr>
        <w:spacing w:after="0" w:line="820" w:lineRule="exact"/>
        <w:jc w:val="center"/>
        <w:rPr>
          <w:rFonts w:ascii="Times New Roman" w:hAnsi="Times New Roman" w:eastAsia="黑体" w:cs="Times New Roman"/>
          <w:sz w:val="72"/>
          <w:szCs w:val="72"/>
          <w14:ligatures w14:val="none"/>
        </w:rPr>
      </w:pPr>
      <w:r>
        <w:rPr>
          <w:rFonts w:ascii="Times New Roman" w:hAnsi="Times New Roman" w:eastAsia="黑体" w:cs="Times New Roman"/>
          <w:sz w:val="72"/>
          <w:szCs w:val="72"/>
          <w14:ligatures w14:val="none"/>
        </w:rPr>
        <w:t>编</w:t>
      </w:r>
    </w:p>
    <w:p w14:paraId="3AD616F2">
      <w:pPr>
        <w:spacing w:after="0" w:line="820" w:lineRule="exact"/>
        <w:jc w:val="center"/>
        <w:rPr>
          <w:rFonts w:ascii="Times New Roman" w:hAnsi="Times New Roman" w:eastAsia="黑体" w:cs="Times New Roman"/>
          <w:sz w:val="72"/>
          <w:szCs w:val="72"/>
          <w14:ligatures w14:val="none"/>
        </w:rPr>
      </w:pPr>
      <w:r>
        <w:rPr>
          <w:rFonts w:ascii="Times New Roman" w:hAnsi="Times New Roman" w:eastAsia="黑体" w:cs="Times New Roman"/>
          <w:sz w:val="72"/>
          <w:szCs w:val="72"/>
          <w14:ligatures w14:val="none"/>
        </w:rPr>
        <w:t>制</w:t>
      </w:r>
    </w:p>
    <w:p w14:paraId="423B2246">
      <w:pPr>
        <w:spacing w:after="0" w:line="820" w:lineRule="exact"/>
        <w:jc w:val="center"/>
        <w:rPr>
          <w:rFonts w:ascii="Times New Roman" w:hAnsi="Times New Roman" w:eastAsia="黑体" w:cs="Times New Roman"/>
          <w:sz w:val="72"/>
          <w:szCs w:val="72"/>
          <w14:ligatures w14:val="none"/>
        </w:rPr>
      </w:pPr>
      <w:r>
        <w:rPr>
          <w:rFonts w:ascii="Times New Roman" w:hAnsi="Times New Roman" w:eastAsia="黑体" w:cs="Times New Roman"/>
          <w:sz w:val="72"/>
          <w:szCs w:val="72"/>
          <w14:ligatures w14:val="none"/>
        </w:rPr>
        <w:t>说</w:t>
      </w:r>
    </w:p>
    <w:p w14:paraId="719EA188">
      <w:pPr>
        <w:spacing w:after="0" w:line="820" w:lineRule="exact"/>
        <w:jc w:val="center"/>
        <w:rPr>
          <w:rFonts w:ascii="Times New Roman" w:hAnsi="Times New Roman" w:eastAsia="黑体" w:cs="Times New Roman"/>
          <w:sz w:val="52"/>
          <w:szCs w:val="52"/>
          <w14:ligatures w14:val="none"/>
        </w:rPr>
      </w:pPr>
      <w:r>
        <w:rPr>
          <w:rFonts w:ascii="Times New Roman" w:hAnsi="Times New Roman" w:eastAsia="黑体" w:cs="Times New Roman"/>
          <w:sz w:val="72"/>
          <w:szCs w:val="72"/>
          <w14:ligatures w14:val="none"/>
        </w:rPr>
        <w:t>明</w:t>
      </w:r>
    </w:p>
    <w:p w14:paraId="6DA7D0E5">
      <w:pPr>
        <w:spacing w:after="0" w:line="820" w:lineRule="exact"/>
        <w:jc w:val="center"/>
        <w:rPr>
          <w:rFonts w:ascii="Times New Roman" w:hAnsi="Times New Roman" w:eastAsia="黑体" w:cs="Times New Roman"/>
          <w:sz w:val="52"/>
          <w:szCs w:val="52"/>
          <w14:ligatures w14:val="none"/>
        </w:rPr>
      </w:pPr>
    </w:p>
    <w:p w14:paraId="5A05D002">
      <w:pPr>
        <w:spacing w:after="0" w:line="820" w:lineRule="exact"/>
        <w:jc w:val="center"/>
        <w:rPr>
          <w:rFonts w:ascii="Times New Roman" w:hAnsi="Times New Roman" w:eastAsia="黑体" w:cs="Times New Roman"/>
          <w:sz w:val="52"/>
          <w:szCs w:val="52"/>
          <w14:ligatures w14:val="none"/>
        </w:rPr>
      </w:pPr>
    </w:p>
    <w:p w14:paraId="2C09CF71">
      <w:pPr>
        <w:spacing w:after="0" w:line="660" w:lineRule="exact"/>
        <w:jc w:val="center"/>
        <w:rPr>
          <w:rFonts w:ascii="Times New Roman" w:hAnsi="Times New Roman" w:eastAsia="黑体" w:cs="Times New Roman"/>
          <w:sz w:val="36"/>
          <w:szCs w:val="36"/>
          <w14:ligatures w14:val="none"/>
        </w:rPr>
      </w:pPr>
      <w:r>
        <w:rPr>
          <w:rFonts w:ascii="Times New Roman" w:hAnsi="Times New Roman" w:eastAsia="黑体" w:cs="Times New Roman"/>
          <w:sz w:val="36"/>
          <w:szCs w:val="36"/>
          <w14:ligatures w14:val="none"/>
        </w:rPr>
        <w:t>《</w:t>
      </w:r>
      <w:r>
        <w:rPr>
          <w:rFonts w:hint="eastAsia" w:ascii="Times New Roman" w:hAnsi="Times New Roman" w:eastAsia="黑体" w:cs="Times New Roman"/>
          <w:sz w:val="36"/>
          <w:szCs w:val="36"/>
          <w14:ligatures w14:val="none"/>
        </w:rPr>
        <w:t xml:space="preserve">天然生胶 </w:t>
      </w:r>
      <w:r>
        <w:rPr>
          <w:rFonts w:hint="eastAsia" w:ascii="Times New Roman" w:hAnsi="Times New Roman" w:eastAsia="黑体" w:cs="Times New Roman"/>
          <w:sz w:val="36"/>
          <w:szCs w:val="36"/>
          <w:lang w:val="en-US" w:eastAsia="zh-CN"/>
          <w14:ligatures w14:val="none"/>
        </w:rPr>
        <w:t xml:space="preserve"> </w:t>
      </w:r>
      <w:bookmarkStart w:id="6" w:name="_GoBack"/>
      <w:bookmarkEnd w:id="6"/>
      <w:r>
        <w:rPr>
          <w:rFonts w:hint="eastAsia" w:ascii="Times New Roman" w:hAnsi="Times New Roman" w:eastAsia="黑体" w:cs="Times New Roman"/>
          <w:sz w:val="36"/>
          <w:szCs w:val="36"/>
          <w:u w:val="single"/>
          <w14:ligatures w14:val="none"/>
        </w:rPr>
        <w:t>重卡轮胎</w:t>
      </w:r>
      <w:r>
        <w:rPr>
          <w:rFonts w:hint="eastAsia" w:ascii="Times New Roman" w:hAnsi="Times New Roman" w:eastAsia="黑体" w:cs="Times New Roman"/>
          <w:sz w:val="36"/>
          <w:szCs w:val="36"/>
          <w14:ligatures w14:val="none"/>
        </w:rPr>
        <w:t>标准橡胶</w:t>
      </w:r>
      <w:r>
        <w:rPr>
          <w:rFonts w:ascii="Times New Roman" w:hAnsi="Times New Roman" w:eastAsia="黑体" w:cs="Times New Roman"/>
          <w:sz w:val="36"/>
          <w:szCs w:val="36"/>
          <w14:ligatures w14:val="none"/>
        </w:rPr>
        <w:t>》起草组</w:t>
      </w:r>
    </w:p>
    <w:p w14:paraId="0F67FF6A">
      <w:pPr>
        <w:spacing w:after="0" w:line="660" w:lineRule="exact"/>
        <w:jc w:val="center"/>
        <w:rPr>
          <w:rFonts w:ascii="Times New Roman" w:hAnsi="Times New Roman" w:eastAsia="黑体" w:cs="Times New Roman"/>
          <w:sz w:val="36"/>
          <w:szCs w:val="36"/>
          <w14:ligatures w14:val="none"/>
        </w:rPr>
      </w:pPr>
      <w:r>
        <w:rPr>
          <w:rFonts w:ascii="Times New Roman" w:hAnsi="Times New Roman" w:eastAsia="黑体" w:cs="Times New Roman"/>
          <w:sz w:val="36"/>
          <w:szCs w:val="36"/>
          <w14:ligatures w14:val="none"/>
        </w:rPr>
        <w:t>20</w:t>
      </w:r>
      <w:r>
        <w:rPr>
          <w:rFonts w:hint="eastAsia" w:ascii="Times New Roman" w:hAnsi="Times New Roman" w:eastAsia="黑体" w:cs="Times New Roman"/>
          <w:sz w:val="36"/>
          <w:szCs w:val="36"/>
          <w14:ligatures w14:val="none"/>
        </w:rPr>
        <w:t>25</w:t>
      </w:r>
      <w:r>
        <w:rPr>
          <w:rFonts w:ascii="Times New Roman" w:hAnsi="Times New Roman" w:eastAsia="黑体" w:cs="Times New Roman"/>
          <w:sz w:val="36"/>
          <w:szCs w:val="36"/>
          <w14:ligatures w14:val="none"/>
        </w:rPr>
        <w:t>年</w:t>
      </w:r>
      <w:r>
        <w:rPr>
          <w:rFonts w:hint="eastAsia" w:ascii="Times New Roman" w:hAnsi="Times New Roman" w:eastAsia="黑体" w:cs="Times New Roman"/>
          <w:sz w:val="36"/>
          <w:szCs w:val="36"/>
          <w14:ligatures w14:val="none"/>
        </w:rPr>
        <w:t>09</w:t>
      </w:r>
      <w:r>
        <w:rPr>
          <w:rFonts w:ascii="Times New Roman" w:hAnsi="Times New Roman" w:eastAsia="黑体" w:cs="Times New Roman"/>
          <w:sz w:val="36"/>
          <w:szCs w:val="36"/>
          <w14:ligatures w14:val="none"/>
        </w:rPr>
        <w:t>月</w:t>
      </w:r>
    </w:p>
    <w:p w14:paraId="23BE456C">
      <w:pPr>
        <w:spacing w:after="0" w:line="560" w:lineRule="exact"/>
        <w:ind w:firstLine="643" w:firstLineChars="200"/>
        <w:jc w:val="both"/>
        <w:rPr>
          <w:rFonts w:ascii="Times New Roman" w:hAnsi="Times New Roman" w:eastAsia="楷体_GB2312" w:cs="Times New Roman"/>
          <w:b/>
          <w:bCs/>
          <w:sz w:val="32"/>
          <w14:ligatures w14:val="none"/>
        </w:rPr>
      </w:pPr>
    </w:p>
    <w:p w14:paraId="557A17C0">
      <w:pPr>
        <w:spacing w:after="0" w:line="560" w:lineRule="exact"/>
        <w:ind w:firstLine="643" w:firstLineChars="200"/>
        <w:jc w:val="both"/>
        <w:rPr>
          <w:rFonts w:ascii="Times New Roman" w:hAnsi="Times New Roman" w:eastAsia="楷体_GB2312" w:cs="Times New Roman"/>
          <w:b/>
          <w:bCs/>
          <w:sz w:val="32"/>
          <w14:ligatures w14:val="none"/>
        </w:rPr>
      </w:pPr>
    </w:p>
    <w:p w14:paraId="47EE0095">
      <w:pPr>
        <w:adjustRightInd w:val="0"/>
        <w:snapToGrid w:val="0"/>
        <w:spacing w:after="0" w:line="240" w:lineRule="auto"/>
        <w:rPr>
          <w:rFonts w:ascii="Times New Roman" w:hAnsi="Times New Roman" w:eastAsia="宋体" w:cs="Arial"/>
          <w:b/>
          <w:bCs/>
          <w:sz w:val="24"/>
          <w14:ligatures w14:val="none"/>
        </w:rPr>
        <w:sectPr>
          <w:pgSz w:w="11906" w:h="16838"/>
          <w:pgMar w:top="2098" w:right="1474" w:bottom="1985" w:left="1588" w:header="851" w:footer="992" w:gutter="0"/>
          <w:cols w:space="720" w:num="1"/>
          <w:docGrid w:type="lines" w:linePitch="312" w:charSpace="0"/>
        </w:sectPr>
      </w:pPr>
    </w:p>
    <w:p w14:paraId="10993A2F">
      <w:pPr>
        <w:spacing w:after="0" w:line="560" w:lineRule="exact"/>
        <w:ind w:firstLine="640" w:firstLineChars="200"/>
        <w:jc w:val="both"/>
        <w:rPr>
          <w:rFonts w:ascii="Times New Roman" w:hAnsi="Times New Roman" w:eastAsia="黑体" w:cs="Times New Roman"/>
          <w:bCs/>
          <w:kern w:val="44"/>
          <w:sz w:val="32"/>
          <w14:ligatures w14:val="none"/>
        </w:rPr>
      </w:pPr>
      <w:bookmarkStart w:id="0" w:name="OLE_LINK12"/>
      <w:r>
        <w:rPr>
          <w:rFonts w:ascii="Times New Roman" w:hAnsi="Times New Roman" w:eastAsia="黑体" w:cs="Times New Roman"/>
          <w:bCs/>
          <w:kern w:val="44"/>
          <w:sz w:val="32"/>
          <w14:ligatures w14:val="none"/>
        </w:rPr>
        <w:t>一、</w:t>
      </w:r>
      <w:r>
        <w:rPr>
          <w:rFonts w:hint="eastAsia" w:ascii="Times New Roman" w:hAnsi="Times New Roman" w:eastAsia="黑体" w:cs="Times New Roman"/>
          <w:bCs/>
          <w:kern w:val="44"/>
          <w:sz w:val="32"/>
          <w14:ligatures w14:val="none"/>
        </w:rPr>
        <w:t>工作简况</w:t>
      </w:r>
    </w:p>
    <w:bookmarkEnd w:id="0"/>
    <w:p w14:paraId="6159DFAF">
      <w:pPr>
        <w:spacing w:after="0" w:line="560" w:lineRule="exact"/>
        <w:ind w:firstLine="643" w:firstLineChars="200"/>
        <w:jc w:val="both"/>
        <w:rPr>
          <w:rFonts w:ascii="Times New Roman" w:hAnsi="Times New Roman" w:eastAsia="楷体_GB2312" w:cs="Times New Roman"/>
          <w:b/>
          <w:bCs/>
          <w:sz w:val="32"/>
          <w14:ligatures w14:val="none"/>
        </w:rPr>
      </w:pPr>
      <w:r>
        <w:rPr>
          <w:rFonts w:ascii="Times New Roman" w:hAnsi="Times New Roman" w:eastAsia="楷体_GB2312" w:cs="Times New Roman"/>
          <w:b/>
          <w:bCs/>
          <w:sz w:val="32"/>
          <w14:ligatures w14:val="none"/>
        </w:rPr>
        <w:t>（一）任务来源</w:t>
      </w:r>
    </w:p>
    <w:p w14:paraId="08BB72DE">
      <w:pPr>
        <w:spacing w:after="0" w:line="560" w:lineRule="exact"/>
        <w:ind w:firstLine="420"/>
        <w:jc w:val="both"/>
        <w:rPr>
          <w:rFonts w:ascii="Times New Roman" w:hAnsi="Times New Roman" w:eastAsia="仿宋_GB2312" w:cs="Arial"/>
          <w:sz w:val="32"/>
          <w14:ligatures w14:val="none"/>
        </w:rPr>
      </w:pPr>
      <w:r>
        <w:rPr>
          <w:rFonts w:hint="eastAsia" w:ascii="Times New Roman" w:hAnsi="Times New Roman" w:eastAsia="仿宋_GB2312" w:cs="Arial"/>
          <w:sz w:val="32"/>
          <w14:ligatures w14:val="none"/>
        </w:rPr>
        <w:t>针对国产天然橡胶无法满足高端制品用胶性能的要求、重卡轮胎生产用胶依赖进口的问题，通过评价专用胶产品性能，为专用胶生产提供支撑。</w:t>
      </w:r>
    </w:p>
    <w:p w14:paraId="1A32729C">
      <w:pPr>
        <w:spacing w:after="0" w:line="560" w:lineRule="exact"/>
        <w:ind w:firstLine="420"/>
        <w:jc w:val="both"/>
        <w:rPr>
          <w:rFonts w:ascii="Times New Roman" w:hAnsi="Times New Roman" w:eastAsia="仿宋_GB2312" w:cs="Arial"/>
          <w:sz w:val="32"/>
          <w14:ligatures w14:val="none"/>
        </w:rPr>
      </w:pPr>
      <w:r>
        <w:rPr>
          <w:rFonts w:hint="eastAsia" w:ascii="Times New Roman" w:hAnsi="Times New Roman" w:eastAsia="仿宋_GB2312" w:cs="Arial"/>
          <w:sz w:val="32"/>
          <w14:ligatures w14:val="none"/>
        </w:rPr>
        <w:t>第一，创新性地建立一套适用于重卡轮胎的动态性能评价标准，解决重卡轮胎研发过程中的卡脖子现象，通过检测标准的统一促进重卡轮胎产业升级，满足技术创新需要。</w:t>
      </w:r>
    </w:p>
    <w:p w14:paraId="559D509D">
      <w:pPr>
        <w:spacing w:after="0" w:line="560" w:lineRule="exact"/>
        <w:ind w:firstLine="420"/>
        <w:jc w:val="both"/>
        <w:rPr>
          <w:rFonts w:ascii="Times New Roman" w:hAnsi="Times New Roman" w:eastAsia="仿宋_GB2312" w:cs="Arial"/>
          <w:sz w:val="32"/>
          <w14:ligatures w14:val="none"/>
        </w:rPr>
      </w:pPr>
      <w:r>
        <w:rPr>
          <w:rFonts w:hint="eastAsia" w:ascii="Times New Roman" w:hAnsi="Times New Roman" w:eastAsia="仿宋_GB2312" w:cs="Arial"/>
          <w:sz w:val="32"/>
          <w14:ligatures w14:val="none"/>
        </w:rPr>
        <w:t>第二，将天然橡胶的粗加工与重卡轮胎加工关联，建立粗加工过程的工艺中天然橡胶的微观结构与重卡轮胎制品的配方设计、工艺调控及制品性能之间的关系。通过研究重卡轮胎专用天然橡胶加工性能流变特性、与填料网络相互作用，建立重卡轮胎专用天然橡胶分子结构与胶乳生产技术、高性能专用胶工程化加工技术相互作用关系。</w:t>
      </w:r>
    </w:p>
    <w:p w14:paraId="089A3D80">
      <w:pPr>
        <w:spacing w:after="0" w:line="560" w:lineRule="exact"/>
        <w:ind w:firstLine="420"/>
        <w:jc w:val="both"/>
        <w:rPr>
          <w:rFonts w:ascii="Times New Roman" w:hAnsi="Times New Roman" w:eastAsia="仿宋_GB2312" w:cs="Arial"/>
          <w:sz w:val="32"/>
          <w14:ligatures w14:val="none"/>
        </w:rPr>
      </w:pPr>
      <w:r>
        <w:rPr>
          <w:rFonts w:hint="eastAsia" w:ascii="Times New Roman" w:hAnsi="Times New Roman" w:eastAsia="仿宋_GB2312" w:cs="Arial"/>
          <w:sz w:val="32"/>
          <w14:ligatures w14:val="none"/>
        </w:rPr>
        <w:t>第三，将多维度测试方法有效串联、并用，更清晰的揭示天然橡胶的微观结构，更明确的进行产品配方、工艺设计。</w:t>
      </w:r>
    </w:p>
    <w:p w14:paraId="20361E63">
      <w:pPr>
        <w:spacing w:after="0" w:line="560" w:lineRule="exact"/>
        <w:ind w:firstLine="643" w:firstLineChars="200"/>
        <w:jc w:val="both"/>
        <w:rPr>
          <w:rFonts w:ascii="Times New Roman" w:hAnsi="Times New Roman" w:eastAsia="楷体_GB2312" w:cs="Times New Roman"/>
          <w:b/>
          <w:bCs/>
          <w:sz w:val="32"/>
          <w14:ligatures w14:val="none"/>
        </w:rPr>
      </w:pPr>
      <w:r>
        <w:rPr>
          <w:rFonts w:ascii="Times New Roman" w:hAnsi="Times New Roman" w:eastAsia="楷体_GB2312" w:cs="Times New Roman"/>
          <w:b/>
          <w:bCs/>
          <w:sz w:val="32"/>
          <w14:ligatures w14:val="none"/>
        </w:rPr>
        <w:t>（二）起草单位</w:t>
      </w:r>
    </w:p>
    <w:p w14:paraId="57387FFD">
      <w:pPr>
        <w:spacing w:after="0" w:line="560" w:lineRule="exact"/>
        <w:ind w:firstLine="640" w:firstLineChars="200"/>
        <w:jc w:val="both"/>
        <w:rPr>
          <w:rFonts w:ascii="Times New Roman" w:hAnsi="Times New Roman" w:eastAsia="仿宋_GB2312" w:cs="Arial"/>
          <w:sz w:val="32"/>
          <w14:ligatures w14:val="none"/>
        </w:rPr>
      </w:pPr>
      <w:r>
        <w:rPr>
          <w:rFonts w:hint="eastAsia" w:ascii="Times New Roman" w:hAnsi="Times New Roman" w:eastAsia="仿宋_GB2312" w:cs="Arial"/>
          <w:sz w:val="32"/>
          <w14:ligatures w14:val="none"/>
        </w:rPr>
        <w:t>除说明全部起草单位外，还应呈表列明参与人员姓名、单位、分工。</w:t>
      </w:r>
    </w:p>
    <w:p w14:paraId="2D92FB2B">
      <w:pPr>
        <w:spacing w:after="0" w:line="560" w:lineRule="exact"/>
        <w:ind w:firstLine="640" w:firstLineChars="200"/>
        <w:jc w:val="both"/>
        <w:rPr>
          <w:rFonts w:ascii="Times New Roman" w:hAnsi="Times New Roman" w:eastAsia="仿宋_GB2312" w:cs="Times New Roman"/>
          <w:bCs/>
          <w:sz w:val="32"/>
          <w:szCs w:val="28"/>
          <w14:ligatures w14:val="none"/>
        </w:rPr>
      </w:pPr>
      <w:bookmarkStart w:id="1" w:name="OLE_LINK1"/>
      <w:r>
        <w:rPr>
          <w:rFonts w:ascii="Times New Roman" w:hAnsi="Times New Roman" w:eastAsia="仿宋_GB2312" w:cs="Times New Roman"/>
          <w:bCs/>
          <w:sz w:val="32"/>
          <w:szCs w:val="28"/>
          <w14:ligatures w14:val="none"/>
        </w:rPr>
        <w:t>本标准起草人分别由来自5家单位从事</w:t>
      </w:r>
      <w:r>
        <w:rPr>
          <w:rFonts w:hint="eastAsia" w:ascii="Times New Roman" w:hAnsi="Times New Roman" w:eastAsia="仿宋_GB2312" w:cs="Times New Roman"/>
          <w:bCs/>
          <w:sz w:val="32"/>
          <w:szCs w:val="28"/>
          <w14:ligatures w14:val="none"/>
        </w:rPr>
        <w:t>天然橡胶生产加工</w:t>
      </w:r>
      <w:r>
        <w:rPr>
          <w:rFonts w:ascii="Times New Roman" w:hAnsi="Times New Roman" w:eastAsia="仿宋_GB2312" w:cs="Times New Roman"/>
          <w:bCs/>
          <w:sz w:val="32"/>
          <w:szCs w:val="28"/>
          <w14:ligatures w14:val="none"/>
        </w:rPr>
        <w:t>技术研究的1</w:t>
      </w:r>
      <w:r>
        <w:rPr>
          <w:rFonts w:hint="eastAsia" w:ascii="Times New Roman" w:hAnsi="Times New Roman" w:eastAsia="仿宋_GB2312" w:cs="Times New Roman"/>
          <w:bCs/>
          <w:sz w:val="32"/>
          <w:szCs w:val="28"/>
          <w14:ligatures w14:val="none"/>
        </w:rPr>
        <w:t>2</w:t>
      </w:r>
      <w:r>
        <w:rPr>
          <w:rFonts w:ascii="Times New Roman" w:hAnsi="Times New Roman" w:eastAsia="仿宋_GB2312" w:cs="Times New Roman"/>
          <w:bCs/>
          <w:sz w:val="32"/>
          <w:szCs w:val="28"/>
          <w14:ligatures w14:val="none"/>
        </w:rPr>
        <w:t>人组成，具体组成和任务分工见下表1。</w:t>
      </w:r>
    </w:p>
    <w:p w14:paraId="7ABA7224">
      <w:pPr>
        <w:spacing w:after="0" w:line="560" w:lineRule="exact"/>
        <w:ind w:firstLine="640" w:firstLineChars="200"/>
        <w:jc w:val="center"/>
        <w:rPr>
          <w:rFonts w:ascii="Times New Roman" w:hAnsi="Times New Roman" w:eastAsia="仿宋_GB2312" w:cs="Times New Roman"/>
          <w:bCs/>
          <w:sz w:val="32"/>
          <w:szCs w:val="28"/>
          <w14:ligatures w14:val="none"/>
        </w:rPr>
      </w:pPr>
      <w:r>
        <w:rPr>
          <w:rFonts w:hint="eastAsia" w:ascii="Times New Roman" w:hAnsi="Times New Roman" w:eastAsia="仿宋_GB2312" w:cs="Times New Roman"/>
          <w:bCs/>
          <w:sz w:val="32"/>
          <w:szCs w:val="28"/>
          <w14:ligatures w14:val="none"/>
        </w:rPr>
        <w:t>表1 主要参与人员名单</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850"/>
        <w:gridCol w:w="2410"/>
        <w:gridCol w:w="1528"/>
        <w:gridCol w:w="2352"/>
      </w:tblGrid>
      <w:tr w14:paraId="7B7B4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132" w:type="dxa"/>
            <w:vAlign w:val="center"/>
          </w:tcPr>
          <w:p w14:paraId="5DB9C0E5">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姓名</w:t>
            </w:r>
          </w:p>
        </w:tc>
        <w:tc>
          <w:tcPr>
            <w:tcW w:w="850" w:type="dxa"/>
            <w:vAlign w:val="center"/>
          </w:tcPr>
          <w:p w14:paraId="3A29E7BC">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性别</w:t>
            </w:r>
          </w:p>
        </w:tc>
        <w:tc>
          <w:tcPr>
            <w:tcW w:w="2410" w:type="dxa"/>
            <w:vAlign w:val="center"/>
          </w:tcPr>
          <w:p w14:paraId="74ABE944">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工作单位</w:t>
            </w:r>
          </w:p>
        </w:tc>
        <w:tc>
          <w:tcPr>
            <w:tcW w:w="1528" w:type="dxa"/>
            <w:vAlign w:val="center"/>
          </w:tcPr>
          <w:p w14:paraId="0220CAF8">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职务/职称</w:t>
            </w:r>
          </w:p>
        </w:tc>
        <w:tc>
          <w:tcPr>
            <w:tcW w:w="2352" w:type="dxa"/>
            <w:vAlign w:val="center"/>
          </w:tcPr>
          <w:p w14:paraId="3F1749E9">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项目分工</w:t>
            </w:r>
          </w:p>
        </w:tc>
      </w:tr>
      <w:tr w14:paraId="49E64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tcBorders>
            <w:vAlign w:val="center"/>
          </w:tcPr>
          <w:p w14:paraId="4DD1C493">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辛振祥</w:t>
            </w:r>
          </w:p>
        </w:tc>
        <w:tc>
          <w:tcPr>
            <w:tcW w:w="850" w:type="dxa"/>
            <w:vAlign w:val="center"/>
          </w:tcPr>
          <w:p w14:paraId="036F2847">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男</w:t>
            </w:r>
          </w:p>
        </w:tc>
        <w:tc>
          <w:tcPr>
            <w:tcW w:w="2410" w:type="dxa"/>
            <w:vAlign w:val="center"/>
          </w:tcPr>
          <w:p w14:paraId="5A68DC58">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青岛科技大学</w:t>
            </w:r>
          </w:p>
        </w:tc>
        <w:tc>
          <w:tcPr>
            <w:tcW w:w="1528" w:type="dxa"/>
            <w:vAlign w:val="center"/>
          </w:tcPr>
          <w:p w14:paraId="03DA10C9">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教授</w:t>
            </w:r>
          </w:p>
        </w:tc>
        <w:tc>
          <w:tcPr>
            <w:tcW w:w="2352" w:type="dxa"/>
            <w:vAlign w:val="center"/>
          </w:tcPr>
          <w:p w14:paraId="5FC2A950">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制定相关标准关键参数</w:t>
            </w:r>
          </w:p>
        </w:tc>
      </w:tr>
      <w:tr w14:paraId="0A22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tcBorders>
            <w:vAlign w:val="center"/>
          </w:tcPr>
          <w:p w14:paraId="226689A4">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王洪振</w:t>
            </w:r>
          </w:p>
        </w:tc>
        <w:tc>
          <w:tcPr>
            <w:tcW w:w="850" w:type="dxa"/>
            <w:vAlign w:val="center"/>
          </w:tcPr>
          <w:p w14:paraId="52BB2288">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男</w:t>
            </w:r>
          </w:p>
        </w:tc>
        <w:tc>
          <w:tcPr>
            <w:tcW w:w="2410" w:type="dxa"/>
            <w:vAlign w:val="center"/>
          </w:tcPr>
          <w:p w14:paraId="70289FF5">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青岛科技大学</w:t>
            </w:r>
          </w:p>
        </w:tc>
        <w:tc>
          <w:tcPr>
            <w:tcW w:w="1528" w:type="dxa"/>
            <w:vAlign w:val="center"/>
          </w:tcPr>
          <w:p w14:paraId="618D7110">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副教授</w:t>
            </w:r>
          </w:p>
        </w:tc>
        <w:tc>
          <w:tcPr>
            <w:tcW w:w="2352" w:type="dxa"/>
            <w:vAlign w:val="center"/>
          </w:tcPr>
          <w:p w14:paraId="0A3764C8">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实验测试与数据分析</w:t>
            </w:r>
          </w:p>
        </w:tc>
      </w:tr>
      <w:tr w14:paraId="3D588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tcBorders>
            <w:vAlign w:val="center"/>
          </w:tcPr>
          <w:p w14:paraId="570137CA">
            <w:pPr>
              <w:spacing w:after="0" w:line="28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宋萌萌</w:t>
            </w:r>
          </w:p>
        </w:tc>
        <w:tc>
          <w:tcPr>
            <w:tcW w:w="850" w:type="dxa"/>
            <w:vAlign w:val="center"/>
          </w:tcPr>
          <w:p w14:paraId="64C61427">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男</w:t>
            </w:r>
          </w:p>
        </w:tc>
        <w:tc>
          <w:tcPr>
            <w:tcW w:w="2410" w:type="dxa"/>
            <w:vAlign w:val="center"/>
          </w:tcPr>
          <w:p w14:paraId="1DFFF8DB">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金宇轮胎集团</w:t>
            </w:r>
          </w:p>
        </w:tc>
        <w:tc>
          <w:tcPr>
            <w:tcW w:w="1528" w:type="dxa"/>
            <w:vAlign w:val="center"/>
          </w:tcPr>
          <w:p w14:paraId="7FFAB77B">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高级工程师</w:t>
            </w:r>
          </w:p>
        </w:tc>
        <w:tc>
          <w:tcPr>
            <w:tcW w:w="2352" w:type="dxa"/>
            <w:vAlign w:val="center"/>
          </w:tcPr>
          <w:p w14:paraId="505DE64A">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实验测试与数据分析</w:t>
            </w:r>
          </w:p>
        </w:tc>
      </w:tr>
      <w:tr w14:paraId="232D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tcBorders>
            <w:vAlign w:val="center"/>
          </w:tcPr>
          <w:p w14:paraId="0769CC3A">
            <w:pPr>
              <w:spacing w:after="0" w:line="28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陈国富</w:t>
            </w:r>
          </w:p>
        </w:tc>
        <w:tc>
          <w:tcPr>
            <w:tcW w:w="850" w:type="dxa"/>
            <w:vAlign w:val="center"/>
          </w:tcPr>
          <w:p w14:paraId="00CC8532">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男</w:t>
            </w:r>
          </w:p>
        </w:tc>
        <w:tc>
          <w:tcPr>
            <w:tcW w:w="2410" w:type="dxa"/>
            <w:vAlign w:val="center"/>
          </w:tcPr>
          <w:p w14:paraId="411E8483">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金宇轮胎集团</w:t>
            </w:r>
          </w:p>
        </w:tc>
        <w:tc>
          <w:tcPr>
            <w:tcW w:w="1528" w:type="dxa"/>
            <w:vAlign w:val="center"/>
          </w:tcPr>
          <w:p w14:paraId="4ACE7C05">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高级工程师</w:t>
            </w:r>
          </w:p>
        </w:tc>
        <w:tc>
          <w:tcPr>
            <w:tcW w:w="2352" w:type="dxa"/>
            <w:vAlign w:val="center"/>
          </w:tcPr>
          <w:p w14:paraId="6E78965E">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实验测试与数据分析</w:t>
            </w:r>
          </w:p>
        </w:tc>
      </w:tr>
      <w:tr w14:paraId="21435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bottom w:val="single" w:color="auto" w:sz="6" w:space="0"/>
            </w:tcBorders>
            <w:vAlign w:val="center"/>
          </w:tcPr>
          <w:p w14:paraId="2517443D">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桂红星</w:t>
            </w:r>
          </w:p>
        </w:tc>
        <w:tc>
          <w:tcPr>
            <w:tcW w:w="850" w:type="dxa"/>
            <w:vAlign w:val="center"/>
          </w:tcPr>
          <w:p w14:paraId="08A18E43">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男</w:t>
            </w:r>
          </w:p>
        </w:tc>
        <w:tc>
          <w:tcPr>
            <w:tcW w:w="2410" w:type="dxa"/>
            <w:vAlign w:val="center"/>
          </w:tcPr>
          <w:p w14:paraId="38DB595C">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中国热带农业科学院橡胶研究所</w:t>
            </w:r>
          </w:p>
        </w:tc>
        <w:tc>
          <w:tcPr>
            <w:tcW w:w="1528" w:type="dxa"/>
            <w:vAlign w:val="center"/>
          </w:tcPr>
          <w:p w14:paraId="52000107">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研究员</w:t>
            </w:r>
          </w:p>
        </w:tc>
        <w:tc>
          <w:tcPr>
            <w:tcW w:w="2352" w:type="dxa"/>
            <w:vAlign w:val="center"/>
          </w:tcPr>
          <w:p w14:paraId="653444E1">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数据分析</w:t>
            </w:r>
          </w:p>
        </w:tc>
      </w:tr>
      <w:tr w14:paraId="083E7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bottom w:val="single" w:color="auto" w:sz="6" w:space="0"/>
            </w:tcBorders>
            <w:vAlign w:val="center"/>
          </w:tcPr>
          <w:p w14:paraId="2F3B14A2">
            <w:pPr>
              <w:spacing w:after="0" w:line="280" w:lineRule="exact"/>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廖禄生</w:t>
            </w:r>
          </w:p>
        </w:tc>
        <w:tc>
          <w:tcPr>
            <w:tcW w:w="850" w:type="dxa"/>
            <w:vAlign w:val="center"/>
          </w:tcPr>
          <w:p w14:paraId="08936093">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男</w:t>
            </w:r>
          </w:p>
        </w:tc>
        <w:tc>
          <w:tcPr>
            <w:tcW w:w="2410" w:type="dxa"/>
            <w:vAlign w:val="center"/>
          </w:tcPr>
          <w:p w14:paraId="18EC9317">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中国热带农业科学院农产品加工研究所</w:t>
            </w:r>
          </w:p>
        </w:tc>
        <w:tc>
          <w:tcPr>
            <w:tcW w:w="1528" w:type="dxa"/>
            <w:vAlign w:val="center"/>
          </w:tcPr>
          <w:p w14:paraId="46D388DC">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研究员</w:t>
            </w:r>
          </w:p>
        </w:tc>
        <w:tc>
          <w:tcPr>
            <w:tcW w:w="2352" w:type="dxa"/>
            <w:vAlign w:val="center"/>
          </w:tcPr>
          <w:p w14:paraId="3C363FE8">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数据分析</w:t>
            </w:r>
          </w:p>
        </w:tc>
      </w:tr>
      <w:tr w14:paraId="2DBB7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bottom w:val="single" w:color="auto" w:sz="6" w:space="0"/>
            </w:tcBorders>
            <w:vAlign w:val="center"/>
          </w:tcPr>
          <w:p w14:paraId="5F17C903">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丁丽</w:t>
            </w:r>
          </w:p>
        </w:tc>
        <w:tc>
          <w:tcPr>
            <w:tcW w:w="850" w:type="dxa"/>
            <w:vAlign w:val="center"/>
          </w:tcPr>
          <w:p w14:paraId="2E876509">
            <w:pPr>
              <w:spacing w:after="0" w:line="28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男</w:t>
            </w:r>
          </w:p>
        </w:tc>
        <w:tc>
          <w:tcPr>
            <w:tcW w:w="2410" w:type="dxa"/>
            <w:vAlign w:val="center"/>
          </w:tcPr>
          <w:p w14:paraId="1B3BE828">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中国热带农业科学院橡胶研究所</w:t>
            </w:r>
          </w:p>
        </w:tc>
        <w:tc>
          <w:tcPr>
            <w:tcW w:w="1528" w:type="dxa"/>
            <w:vAlign w:val="center"/>
          </w:tcPr>
          <w:p w14:paraId="644610DC">
            <w:pPr>
              <w:spacing w:after="0" w:line="28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副研究员</w:t>
            </w:r>
          </w:p>
        </w:tc>
        <w:tc>
          <w:tcPr>
            <w:tcW w:w="2352" w:type="dxa"/>
            <w:vAlign w:val="center"/>
          </w:tcPr>
          <w:p w14:paraId="6F01A8F4">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性状指标测定</w:t>
            </w:r>
          </w:p>
        </w:tc>
      </w:tr>
      <w:tr w14:paraId="3771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bottom w:val="single" w:color="auto" w:sz="6" w:space="0"/>
            </w:tcBorders>
            <w:vAlign w:val="center"/>
          </w:tcPr>
          <w:p w14:paraId="0C6E3BA3">
            <w:pPr>
              <w:spacing w:after="0" w:line="28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丁爱武</w:t>
            </w:r>
          </w:p>
        </w:tc>
        <w:tc>
          <w:tcPr>
            <w:tcW w:w="850" w:type="dxa"/>
            <w:vAlign w:val="center"/>
          </w:tcPr>
          <w:p w14:paraId="7BF28F9D">
            <w:pPr>
              <w:spacing w:after="0" w:line="28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男</w:t>
            </w:r>
          </w:p>
        </w:tc>
        <w:tc>
          <w:tcPr>
            <w:tcW w:w="2410" w:type="dxa"/>
            <w:vAlign w:val="center"/>
          </w:tcPr>
          <w:p w14:paraId="237C6B1B">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海南省先进天然橡胶复合材料工程研究中心有限公司</w:t>
            </w:r>
          </w:p>
        </w:tc>
        <w:tc>
          <w:tcPr>
            <w:tcW w:w="1528" w:type="dxa"/>
            <w:vAlign w:val="center"/>
          </w:tcPr>
          <w:p w14:paraId="7725A207">
            <w:pPr>
              <w:spacing w:after="0" w:line="28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副研究员</w:t>
            </w:r>
          </w:p>
        </w:tc>
        <w:tc>
          <w:tcPr>
            <w:tcW w:w="2352" w:type="dxa"/>
            <w:vAlign w:val="center"/>
          </w:tcPr>
          <w:p w14:paraId="79C5E1B9">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参与本标准制定与修改</w:t>
            </w:r>
          </w:p>
        </w:tc>
      </w:tr>
      <w:tr w14:paraId="6922B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132" w:type="dxa"/>
            <w:tcBorders>
              <w:top w:val="single" w:color="auto" w:sz="6" w:space="0"/>
              <w:bottom w:val="single" w:color="auto" w:sz="6" w:space="0"/>
            </w:tcBorders>
            <w:vAlign w:val="center"/>
          </w:tcPr>
          <w:p w14:paraId="74DE74AB">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唐海龙</w:t>
            </w:r>
          </w:p>
        </w:tc>
        <w:tc>
          <w:tcPr>
            <w:tcW w:w="850" w:type="dxa"/>
            <w:vAlign w:val="center"/>
          </w:tcPr>
          <w:p w14:paraId="152EB09F">
            <w:pPr>
              <w:spacing w:after="0" w:line="280" w:lineRule="exact"/>
              <w:jc w:val="center"/>
              <w:rPr>
                <w:rFonts w:ascii="Times New Roman" w:hAnsi="Times New Roman" w:eastAsia="仿宋_GB2312" w:cs="Times New Roman"/>
                <w:sz w:val="28"/>
                <w:szCs w:val="28"/>
                <w14:ligatures w14:val="none"/>
              </w:rPr>
            </w:pPr>
            <w:r>
              <w:rPr>
                <w:rFonts w:ascii="Times New Roman" w:hAnsi="Times New Roman" w:eastAsia="仿宋_GB2312" w:cs="Times New Roman"/>
                <w:sz w:val="28"/>
                <w:szCs w:val="28"/>
                <w14:ligatures w14:val="none"/>
              </w:rPr>
              <w:t>男</w:t>
            </w:r>
          </w:p>
        </w:tc>
        <w:tc>
          <w:tcPr>
            <w:tcW w:w="2410" w:type="dxa"/>
            <w:vAlign w:val="center"/>
          </w:tcPr>
          <w:p w14:paraId="3B3A77D6">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海南省先进天然橡胶复合材料工程研究中心有限公司</w:t>
            </w:r>
          </w:p>
        </w:tc>
        <w:tc>
          <w:tcPr>
            <w:tcW w:w="1528" w:type="dxa"/>
            <w:vAlign w:val="center"/>
          </w:tcPr>
          <w:p w14:paraId="4D142FCC">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高级工程师</w:t>
            </w:r>
          </w:p>
        </w:tc>
        <w:tc>
          <w:tcPr>
            <w:tcW w:w="2352" w:type="dxa"/>
            <w:vAlign w:val="center"/>
          </w:tcPr>
          <w:p w14:paraId="1A7A83E5">
            <w:pPr>
              <w:spacing w:after="0" w:line="280" w:lineRule="exact"/>
              <w:jc w:val="center"/>
              <w:rPr>
                <w:rFonts w:ascii="Times New Roman" w:hAnsi="Times New Roman" w:eastAsia="仿宋_GB2312" w:cs="Times New Roman"/>
                <w:sz w:val="28"/>
                <w:szCs w:val="28"/>
                <w14:ligatures w14:val="none"/>
              </w:rPr>
            </w:pPr>
            <w:r>
              <w:rPr>
                <w:rFonts w:hint="eastAsia" w:ascii="Times New Roman" w:hAnsi="Times New Roman" w:eastAsia="仿宋_GB2312" w:cs="Times New Roman"/>
                <w:sz w:val="28"/>
                <w:szCs w:val="28"/>
                <w14:ligatures w14:val="none"/>
              </w:rPr>
              <w:t>参与本标准制定与修改</w:t>
            </w:r>
          </w:p>
        </w:tc>
      </w:tr>
      <w:bookmarkEnd w:id="1"/>
    </w:tbl>
    <w:p w14:paraId="19C6D79E">
      <w:pPr>
        <w:spacing w:after="0" w:line="560" w:lineRule="exact"/>
        <w:ind w:firstLine="643" w:firstLineChars="200"/>
        <w:jc w:val="both"/>
        <w:rPr>
          <w:rFonts w:ascii="Times New Roman" w:hAnsi="Times New Roman" w:eastAsia="楷体_GB2312" w:cs="Times New Roman"/>
          <w:b/>
          <w:bCs/>
          <w:sz w:val="32"/>
          <w14:ligatures w14:val="none"/>
        </w:rPr>
      </w:pPr>
      <w:r>
        <w:rPr>
          <w:rFonts w:ascii="Times New Roman" w:hAnsi="Times New Roman" w:eastAsia="楷体_GB2312" w:cs="Times New Roman"/>
          <w:b/>
          <w:bCs/>
          <w:sz w:val="32"/>
          <w14:ligatures w14:val="none"/>
        </w:rPr>
        <w:t>（三）主要工作过程</w:t>
      </w:r>
    </w:p>
    <w:p w14:paraId="7C4A95CC">
      <w:pPr>
        <w:spacing w:after="0" w:line="560" w:lineRule="exact"/>
        <w:ind w:firstLine="640" w:firstLineChars="200"/>
        <w:jc w:val="both"/>
        <w:rPr>
          <w:rFonts w:ascii="Times New Roman" w:hAnsi="Times New Roman" w:eastAsia="仿宋_GB2312" w:cs="Arial"/>
          <w:sz w:val="32"/>
          <w14:ligatures w14:val="none"/>
        </w:rPr>
      </w:pPr>
      <w:r>
        <w:rPr>
          <w:rFonts w:hint="eastAsia" w:ascii="Times New Roman" w:hAnsi="Times New Roman" w:eastAsia="仿宋_GB2312" w:cs="Arial"/>
          <w:sz w:val="32"/>
          <w14:ligatures w14:val="none"/>
        </w:rPr>
        <w:t>要按标准各阶段为单位分别编写。列出各阶段的关键内容。征求意见、审查阶段的主要内容要详细给出。征求意见要对征求对象的代表性、回复情况、意见处理情况进行总结说明。</w:t>
      </w:r>
    </w:p>
    <w:p w14:paraId="5461A54D">
      <w:pPr>
        <w:spacing w:after="0" w:line="560" w:lineRule="exact"/>
        <w:ind w:firstLine="640" w:firstLineChars="200"/>
        <w:jc w:val="both"/>
        <w:rPr>
          <w:rFonts w:ascii="Times New Roman" w:hAnsi="Times New Roman" w:eastAsia="仿宋_GB2312" w:cs="Arial"/>
          <w:b/>
          <w:bCs/>
          <w:sz w:val="32"/>
          <w14:ligatures w14:val="none"/>
        </w:rPr>
      </w:pPr>
      <w:r>
        <w:rPr>
          <w:rFonts w:hint="eastAsia" w:ascii="Times New Roman" w:hAnsi="Times New Roman" w:eastAsia="仿宋_GB2312" w:cs="Arial"/>
          <w:sz w:val="32"/>
          <w14:ligatures w14:val="none"/>
        </w:rPr>
        <w:t>1.</w:t>
      </w:r>
      <w:r>
        <w:rPr>
          <w:rFonts w:hint="eastAsia" w:ascii="Times New Roman" w:hAnsi="Times New Roman" w:eastAsia="仿宋_GB2312" w:cs="Arial"/>
          <w:b/>
          <w:bCs/>
          <w:sz w:val="32"/>
          <w14:ligatures w14:val="none"/>
        </w:rPr>
        <w:t>起草阶段</w:t>
      </w:r>
    </w:p>
    <w:p w14:paraId="410F4DEB">
      <w:pPr>
        <w:spacing w:after="0" w:line="560" w:lineRule="exact"/>
        <w:ind w:firstLine="640" w:firstLineChars="200"/>
        <w:jc w:val="both"/>
        <w:rPr>
          <w:rFonts w:ascii="Times New Roman" w:hAnsi="Times New Roman" w:eastAsia="仿宋_GB2312" w:cs="Arial"/>
          <w:b/>
          <w:bCs/>
          <w:sz w:val="32"/>
          <w14:ligatures w14:val="none"/>
        </w:rPr>
      </w:pPr>
      <w:r>
        <w:rPr>
          <w:rFonts w:ascii="Times New Roman" w:hAnsi="Times New Roman" w:eastAsia="仿宋_GB2312" w:cs="Times New Roman"/>
          <w:sz w:val="32"/>
          <w:szCs w:val="32"/>
          <w14:ligatures w14:val="none"/>
        </w:rPr>
        <w:t>任务下达后，</w:t>
      </w:r>
      <w:r>
        <w:rPr>
          <w:rFonts w:hint="eastAsia" w:ascii="Times New Roman" w:hAnsi="Times New Roman" w:eastAsia="仿宋_GB2312" w:cs="Times New Roman"/>
          <w:sz w:val="32"/>
          <w:szCs w:val="32"/>
          <w14:ligatures w14:val="none"/>
        </w:rPr>
        <w:t>青岛科技大学</w:t>
      </w:r>
      <w:r>
        <w:rPr>
          <w:rFonts w:ascii="Times New Roman" w:hAnsi="Times New Roman" w:eastAsia="仿宋_GB2312" w:cs="Times New Roman"/>
          <w:sz w:val="32"/>
          <w:szCs w:val="32"/>
          <w14:ligatures w14:val="none"/>
        </w:rPr>
        <w:t>牵头成立了标准起草工作小组，确定了起草组成员，由长期从事</w:t>
      </w:r>
      <w:r>
        <w:rPr>
          <w:rFonts w:hint="eastAsia" w:ascii="Times New Roman" w:hAnsi="Times New Roman" w:eastAsia="仿宋_GB2312" w:cs="Times New Roman"/>
          <w:sz w:val="32"/>
          <w:szCs w:val="32"/>
          <w14:ligatures w14:val="none"/>
        </w:rPr>
        <w:t>天然橡胶</w:t>
      </w:r>
      <w:r>
        <w:rPr>
          <w:rFonts w:ascii="Times New Roman" w:hAnsi="Times New Roman" w:eastAsia="仿宋_GB2312" w:cs="Times New Roman"/>
          <w:sz w:val="32"/>
          <w:szCs w:val="32"/>
          <w14:ligatures w14:val="none"/>
        </w:rPr>
        <w:t>收集评价</w:t>
      </w:r>
      <w:r>
        <w:rPr>
          <w:rFonts w:hint="eastAsia" w:ascii="Times New Roman" w:hAnsi="Times New Roman" w:eastAsia="仿宋_GB2312" w:cs="Times New Roman"/>
          <w:sz w:val="32"/>
          <w:szCs w:val="32"/>
          <w14:ligatures w14:val="none"/>
        </w:rPr>
        <w:t>胶乳加工</w:t>
      </w:r>
      <w:r>
        <w:rPr>
          <w:rFonts w:ascii="Times New Roman" w:hAnsi="Times New Roman" w:eastAsia="仿宋_GB2312" w:cs="Times New Roman"/>
          <w:sz w:val="32"/>
          <w:szCs w:val="32"/>
          <w14:ligatures w14:val="none"/>
        </w:rPr>
        <w:t>及</w:t>
      </w:r>
      <w:r>
        <w:rPr>
          <w:rFonts w:hint="eastAsia" w:ascii="Times New Roman" w:hAnsi="Times New Roman" w:eastAsia="仿宋_GB2312" w:cs="Times New Roman"/>
          <w:sz w:val="32"/>
          <w:szCs w:val="32"/>
          <w14:ligatures w14:val="none"/>
        </w:rPr>
        <w:t>重卡轮胎</w:t>
      </w:r>
      <w:r>
        <w:rPr>
          <w:rFonts w:ascii="Times New Roman" w:hAnsi="Times New Roman" w:eastAsia="仿宋_GB2312" w:cs="Times New Roman"/>
          <w:sz w:val="32"/>
          <w:szCs w:val="32"/>
          <w14:ligatures w14:val="none"/>
        </w:rPr>
        <w:t>生产相关专业的成员组成，并明确了工作小组职责和任务分工，制定了工作原则和详细实施方案。在标准制定过程中，始终坚持科研与实践相结合的原则，把多年来在</w:t>
      </w:r>
      <w:r>
        <w:rPr>
          <w:rFonts w:hint="eastAsia" w:ascii="Times New Roman" w:hAnsi="Times New Roman" w:eastAsia="仿宋_GB2312" w:cs="Times New Roman"/>
          <w:sz w:val="32"/>
          <w:szCs w:val="32"/>
          <w14:ligatures w14:val="none"/>
        </w:rPr>
        <w:t>天然橡胶生产加工、重卡轮胎制造</w:t>
      </w:r>
      <w:r>
        <w:rPr>
          <w:rFonts w:ascii="Times New Roman" w:hAnsi="Times New Roman" w:eastAsia="仿宋_GB2312" w:cs="Times New Roman"/>
          <w:sz w:val="32"/>
          <w:szCs w:val="32"/>
          <w14:ligatures w14:val="none"/>
        </w:rPr>
        <w:t>研究过程中总结的经验，经过科学的方法进一步加以验证、补充、完善，使之规范化和标准化。</w:t>
      </w:r>
    </w:p>
    <w:p w14:paraId="0DBF9104">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二、标准编制原则和确定标准主要内容的依据</w:t>
      </w:r>
    </w:p>
    <w:p w14:paraId="092AEDA5">
      <w:pPr>
        <w:spacing w:after="0" w:line="560" w:lineRule="exact"/>
        <w:ind w:firstLine="643" w:firstLineChars="200"/>
        <w:jc w:val="both"/>
        <w:rPr>
          <w:rFonts w:ascii="Times New Roman" w:hAnsi="Times New Roman" w:eastAsia="楷体_GB2312" w:cs="Times New Roman"/>
          <w:b/>
          <w:bCs/>
          <w:sz w:val="32"/>
          <w14:ligatures w14:val="none"/>
        </w:rPr>
      </w:pPr>
      <w:r>
        <w:rPr>
          <w:rFonts w:ascii="Times New Roman" w:hAnsi="Times New Roman" w:eastAsia="楷体_GB2312" w:cs="Times New Roman"/>
          <w:b/>
          <w:bCs/>
          <w:sz w:val="32"/>
          <w14:ligatures w14:val="none"/>
        </w:rPr>
        <w:t>（一）</w:t>
      </w:r>
      <w:r>
        <w:rPr>
          <w:rFonts w:hint="eastAsia" w:ascii="Times New Roman" w:hAnsi="Times New Roman" w:eastAsia="楷体_GB2312" w:cs="Times New Roman"/>
          <w:b/>
          <w:bCs/>
          <w:sz w:val="32"/>
          <w14:ligatures w14:val="none"/>
        </w:rPr>
        <w:t>编制原则</w:t>
      </w:r>
    </w:p>
    <w:p w14:paraId="4EEB8657">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1. 本标准按GB/T 1.1—2020《标准化工作导则 第1部分：标准化文件的结构和起草规则》给出的规则编制，使标准在结构、语言表述和编排格式上符合标准的要求。</w:t>
      </w:r>
    </w:p>
    <w:p w14:paraId="3C8DA8AC">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2. 根据天然橡胶检验方法的技术要求以及当前技术水平，遵循科学性、合理性、经济性和可操作性的原则，修订本标准的技术内容。</w:t>
      </w:r>
    </w:p>
    <w:p w14:paraId="218CABFF">
      <w:pPr>
        <w:spacing w:after="0" w:line="560" w:lineRule="exact"/>
        <w:ind w:firstLine="640" w:firstLineChars="200"/>
        <w:jc w:val="both"/>
        <w:rPr>
          <w:rFonts w:ascii="Times New Roman" w:hAnsi="Times New Roman" w:eastAsia="仿宋_GB2312" w:cs="Arial"/>
          <w:sz w:val="32"/>
          <w14:ligatures w14:val="none"/>
        </w:rPr>
      </w:pPr>
      <w:r>
        <w:rPr>
          <w:rFonts w:ascii="Times New Roman" w:hAnsi="Times New Roman" w:eastAsia="仿宋_GB2312" w:cs="Times New Roman"/>
          <w:sz w:val="32"/>
          <w14:ligatures w14:val="none"/>
        </w:rPr>
        <w:t>3. 在标准的名称、技术要求结构和内容、用语等方面与天然橡胶系列标准及相关标准保持一致</w:t>
      </w:r>
      <w:r>
        <w:rPr>
          <w:rFonts w:hint="eastAsia" w:ascii="Times New Roman" w:hAnsi="Times New Roman" w:eastAsia="仿宋_GB2312" w:cs="Arial"/>
          <w:sz w:val="32"/>
          <w14:ligatures w14:val="none"/>
        </w:rPr>
        <w:t>。</w:t>
      </w:r>
    </w:p>
    <w:p w14:paraId="2CAF237D">
      <w:pPr>
        <w:spacing w:after="0" w:line="560" w:lineRule="exact"/>
        <w:ind w:firstLine="643" w:firstLineChars="200"/>
        <w:jc w:val="both"/>
        <w:rPr>
          <w:rFonts w:ascii="Times New Roman" w:hAnsi="Times New Roman" w:eastAsia="楷体_GB2312" w:cs="Times New Roman"/>
          <w:b/>
          <w:bCs/>
          <w:sz w:val="32"/>
          <w14:ligatures w14:val="none"/>
        </w:rPr>
      </w:pPr>
      <w:r>
        <w:rPr>
          <w:rFonts w:ascii="Times New Roman" w:hAnsi="Times New Roman" w:eastAsia="楷体_GB2312" w:cs="Times New Roman"/>
          <w:b/>
          <w:bCs/>
          <w:sz w:val="32"/>
          <w14:ligatures w14:val="none"/>
        </w:rPr>
        <w:t>（二）</w:t>
      </w:r>
      <w:r>
        <w:rPr>
          <w:rFonts w:hint="eastAsia" w:ascii="Times New Roman" w:hAnsi="Times New Roman" w:eastAsia="楷体_GB2312" w:cs="Times New Roman"/>
          <w:b/>
          <w:bCs/>
          <w:sz w:val="32"/>
          <w14:ligatures w14:val="none"/>
        </w:rPr>
        <w:t>主要内容以及确定</w:t>
      </w:r>
      <w:r>
        <w:rPr>
          <w:rFonts w:ascii="Times New Roman" w:hAnsi="Times New Roman" w:eastAsia="楷体_GB2312" w:cs="Times New Roman"/>
          <w:b/>
          <w:bCs/>
          <w:sz w:val="32"/>
          <w14:ligatures w14:val="none"/>
        </w:rPr>
        <w:t>依据</w:t>
      </w:r>
    </w:p>
    <w:p w14:paraId="55F141AF">
      <w:pPr>
        <w:spacing w:after="0" w:line="560" w:lineRule="exact"/>
        <w:ind w:firstLine="640" w:firstLineChars="200"/>
        <w:jc w:val="both"/>
        <w:rPr>
          <w:rFonts w:ascii="Times New Roman" w:hAnsi="Times New Roman" w:eastAsia="仿宋_GB2312" w:cs="Times New Roman"/>
          <w:sz w:val="32"/>
          <w14:ligatures w14:val="none"/>
        </w:rPr>
      </w:pPr>
      <w:bookmarkStart w:id="2" w:name="_Toc6253"/>
      <w:r>
        <w:rPr>
          <w:rFonts w:ascii="Times New Roman" w:hAnsi="Times New Roman" w:eastAsia="仿宋_GB2312" w:cs="Times New Roman"/>
          <w:sz w:val="32"/>
          <w14:ligatures w14:val="none"/>
        </w:rPr>
        <w:t>1. 关于本标准的范围</w:t>
      </w:r>
      <w:bookmarkEnd w:id="2"/>
    </w:p>
    <w:p w14:paraId="2371B729">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本标准规定</w:t>
      </w:r>
      <w:r>
        <w:rPr>
          <w:rFonts w:hint="eastAsia" w:ascii="Times New Roman" w:hAnsi="Times New Roman" w:eastAsia="仿宋_GB2312" w:cs="Times New Roman"/>
          <w:sz w:val="32"/>
          <w14:ligatures w14:val="none"/>
        </w:rPr>
        <w:t>重卡轮胎标准橡胶的要求、试验方法、检验规则及贮存</w:t>
      </w:r>
      <w:r>
        <w:rPr>
          <w:rFonts w:ascii="Times New Roman" w:hAnsi="Times New Roman" w:eastAsia="仿宋_GB2312" w:cs="Times New Roman"/>
          <w:sz w:val="32"/>
          <w14:ligatures w14:val="none"/>
        </w:rPr>
        <w:t>。</w:t>
      </w:r>
    </w:p>
    <w:p w14:paraId="5C8C588A">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2. 关于本标准的规范性引用文件</w:t>
      </w:r>
    </w:p>
    <w:p w14:paraId="0F2D8C43">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本标准引用文件规范了本标准涉及的质量要求的测试方法，包括</w:t>
      </w:r>
      <w:r>
        <w:rPr>
          <w:rFonts w:hint="eastAsia" w:ascii="Times New Roman" w:hAnsi="Times New Roman" w:eastAsia="仿宋_GB2312" w:cs="Times New Roman"/>
          <w:sz w:val="32"/>
          <w14:ligatures w14:val="none"/>
        </w:rPr>
        <w:t>重卡轮胎标准橡胶的</w:t>
      </w:r>
      <w:r>
        <w:rPr>
          <w:rFonts w:ascii="Times New Roman" w:hAnsi="Times New Roman" w:eastAsia="仿宋_GB2312" w:cs="Times New Roman"/>
          <w:sz w:val="32"/>
          <w14:ligatures w14:val="none"/>
        </w:rPr>
        <w:t>取样方法、样品制备、操作步骤和质量要求、测</w:t>
      </w:r>
      <w:r>
        <w:rPr>
          <w:rFonts w:hint="eastAsia" w:ascii="Times New Roman" w:hAnsi="Times New Roman" w:eastAsia="仿宋_GB2312" w:cs="Times New Roman"/>
          <w:sz w:val="32"/>
          <w14:ligatures w14:val="none"/>
        </w:rPr>
        <w:t>试方法等，具体如下：</w:t>
      </w:r>
    </w:p>
    <w:p w14:paraId="64FD85D2">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528  硫化橡胶和热塑性橡胶拉伸应力应变性能的测定</w:t>
      </w:r>
    </w:p>
    <w:p w14:paraId="6D03BDE0">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529  硫化橡胶或热塑性橡胶撕裂强度的测定</w:t>
      </w:r>
    </w:p>
    <w:p w14:paraId="43982C7E">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531.1  硫化橡胶或热塑性橡胶.压入硬度试验方法</w:t>
      </w:r>
    </w:p>
    <w:p w14:paraId="3FEFA9D3">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1232.1  未硫化橡胶  用圆盘剪切粘度计进行测定  第1部分：门尼粘度的测定</w:t>
      </w:r>
    </w:p>
    <w:p w14:paraId="6852EB80">
      <w:pPr>
        <w:spacing w:after="0" w:line="560" w:lineRule="exact"/>
        <w:ind w:firstLine="640" w:firstLineChars="200"/>
        <w:jc w:val="both"/>
        <w:rPr>
          <w:rFonts w:ascii="Times New Roman" w:hAnsi="Times New Roman" w:eastAsia="仿宋_GB2312" w:cs="Times New Roman"/>
          <w:sz w:val="32"/>
          <w14:ligatures w14:val="none"/>
        </w:rPr>
      </w:pPr>
      <w:bookmarkStart w:id="3" w:name="_Hlk209016307"/>
      <w:r>
        <w:rPr>
          <w:rFonts w:hint="eastAsia" w:ascii="Times New Roman" w:hAnsi="Times New Roman" w:eastAsia="仿宋_GB2312" w:cs="Times New Roman"/>
          <w:sz w:val="32"/>
          <w14:ligatures w14:val="none"/>
        </w:rPr>
        <w:t>GB/T 1687  硫化橡胶在屈挠试验中温升和耐疲劳性能的测定 第2部分：压缩屈挠试验</w:t>
      </w:r>
    </w:p>
    <w:bookmarkEnd w:id="3"/>
    <w:p w14:paraId="50218443">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3510  未硫化橡胶  塑性的测定 快速塑性计法</w:t>
      </w:r>
    </w:p>
    <w:p w14:paraId="30DBD45C">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3516  橡胶 溶剂抽出物的测定</w:t>
      </w:r>
    </w:p>
    <w:p w14:paraId="7C6E94FA">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3517  天然生胶  塑性保持率（PRI）的测定</w:t>
      </w:r>
    </w:p>
    <w:p w14:paraId="39562691">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4498.2  橡胶 灰分的测定 第2部分：热重分析法</w:t>
      </w:r>
    </w:p>
    <w:p w14:paraId="39126A4F">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6038  橡胶试验胶料的配料、混炼和硫化设备及操作程序</w:t>
      </w:r>
    </w:p>
    <w:p w14:paraId="1285262E">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8086  天然生胶  杂质含量的测定</w:t>
      </w:r>
    </w:p>
    <w:p w14:paraId="19165F25">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8088  天然生胶和天然胶乳  氮含量的测定</w:t>
      </w:r>
    </w:p>
    <w:p w14:paraId="0A4CDD45">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15340  天然、合成生胶 取样及制样方法</w:t>
      </w:r>
    </w:p>
    <w:p w14:paraId="41D156D7">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24131.1  生橡胶 挥发分含量的测定 第1部分：热辊法和烘箱法</w:t>
      </w:r>
    </w:p>
    <w:p w14:paraId="16FD477B">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NY/T 1403  天然橡胶 评价方法</w:t>
      </w:r>
    </w:p>
    <w:p w14:paraId="0DABF734">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1681  硫化橡胶回弹性的测定</w:t>
      </w:r>
    </w:p>
    <w:p w14:paraId="19373E3D">
      <w:pPr>
        <w:spacing w:after="0" w:line="560" w:lineRule="exact"/>
        <w:ind w:firstLine="640" w:firstLineChars="200"/>
        <w:jc w:val="both"/>
        <w:rPr>
          <w:rFonts w:ascii="Times New Roman" w:hAnsi="Times New Roman" w:eastAsia="仿宋_GB2312" w:cs="Times New Roman"/>
          <w:sz w:val="32"/>
          <w14:ligatures w14:val="none"/>
        </w:rPr>
      </w:pPr>
      <w:bookmarkStart w:id="4" w:name="_Hlk209016421"/>
      <w:r>
        <w:rPr>
          <w:rFonts w:hint="eastAsia" w:ascii="Times New Roman" w:hAnsi="Times New Roman" w:eastAsia="仿宋_GB2312" w:cs="Times New Roman"/>
          <w:sz w:val="32"/>
          <w14:ligatures w14:val="none"/>
        </w:rPr>
        <w:t>GB/T 7759.1  硫化橡胶或热塑性橡胶 压缩永久变形的测定 第1部分：在常温及高温条件下</w:t>
      </w:r>
    </w:p>
    <w:p w14:paraId="775B7469">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1689  硫化橡胶 耐磨性能的测定（用阿克隆磨耗试验机）</w:t>
      </w:r>
    </w:p>
    <w:p w14:paraId="2B77DE7D">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GB/T 9867  硫化橡胶或热塑性橡胶耐磨性能的测定（旋转辊筒式磨耗机法）</w:t>
      </w:r>
    </w:p>
    <w:bookmarkEnd w:id="4"/>
    <w:p w14:paraId="1EF83F8B">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3. 关于本标准的术语和定义</w:t>
      </w:r>
    </w:p>
    <w:p w14:paraId="34AA85A6">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本标准没有需要界定的术语和定义。</w:t>
      </w:r>
    </w:p>
    <w:p w14:paraId="0CD5F618">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 xml:space="preserve">4. </w:t>
      </w:r>
      <w:r>
        <w:rPr>
          <w:rFonts w:hint="eastAsia" w:ascii="Times New Roman" w:hAnsi="Times New Roman" w:eastAsia="仿宋_GB2312" w:cs="Times New Roman"/>
          <w:sz w:val="32"/>
          <w14:ligatures w14:val="none"/>
        </w:rPr>
        <w:t>关于</w:t>
      </w:r>
      <w:r>
        <w:rPr>
          <w:rFonts w:ascii="Times New Roman" w:hAnsi="Times New Roman" w:eastAsia="仿宋_GB2312" w:cs="Times New Roman"/>
          <w:sz w:val="32"/>
          <w14:ligatures w14:val="none"/>
        </w:rPr>
        <w:t>本标准的</w:t>
      </w:r>
      <w:r>
        <w:rPr>
          <w:rFonts w:hint="eastAsia" w:ascii="Times New Roman" w:hAnsi="Times New Roman" w:eastAsia="仿宋_GB2312" w:cs="Times New Roman"/>
          <w:sz w:val="32"/>
          <w14:ligatures w14:val="none"/>
        </w:rPr>
        <w:t>内容</w:t>
      </w:r>
    </w:p>
    <w:p w14:paraId="074EA075">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本标准规定了</w:t>
      </w:r>
      <w:r>
        <w:rPr>
          <w:rFonts w:hint="eastAsia" w:ascii="Times New Roman" w:hAnsi="Times New Roman" w:eastAsia="仿宋_GB2312" w:cs="Times New Roman"/>
          <w:sz w:val="32"/>
          <w14:ligatures w14:val="none"/>
        </w:rPr>
        <w:t>重卡轮胎标准橡胶</w:t>
      </w:r>
      <w:r>
        <w:rPr>
          <w:rFonts w:ascii="Times New Roman" w:hAnsi="Times New Roman" w:eastAsia="仿宋_GB2312" w:cs="Times New Roman"/>
          <w:sz w:val="32"/>
          <w14:ligatures w14:val="none"/>
        </w:rPr>
        <w:t>的</w:t>
      </w:r>
      <w:r>
        <w:rPr>
          <w:rFonts w:hint="eastAsia" w:ascii="Times New Roman" w:hAnsi="Times New Roman" w:eastAsia="仿宋_GB2312" w:cs="Times New Roman"/>
          <w:sz w:val="32"/>
          <w14:ligatures w14:val="none"/>
        </w:rPr>
        <w:t>基本性能、</w:t>
      </w:r>
      <w:r>
        <w:rPr>
          <w:rFonts w:ascii="Times New Roman" w:hAnsi="Times New Roman" w:eastAsia="仿宋_GB2312" w:cs="Times New Roman"/>
          <w:sz w:val="32"/>
          <w14:ligatures w14:val="none"/>
        </w:rPr>
        <w:t>测试项目、技术指标、试验方法等要求。</w:t>
      </w:r>
      <w:r>
        <w:rPr>
          <w:rFonts w:hint="eastAsia" w:ascii="Times New Roman" w:hAnsi="Times New Roman" w:eastAsia="仿宋_GB2312" w:cs="Times New Roman"/>
          <w:sz w:val="32"/>
          <w14:ligatures w14:val="none"/>
        </w:rPr>
        <w:t>重卡轮胎标准橡胶</w:t>
      </w:r>
      <w:r>
        <w:rPr>
          <w:rFonts w:ascii="Times New Roman" w:hAnsi="Times New Roman" w:eastAsia="仿宋_GB2312" w:cs="Times New Roman"/>
          <w:sz w:val="32"/>
          <w14:ligatures w14:val="none"/>
        </w:rPr>
        <w:t>应符合1</w:t>
      </w:r>
      <w:r>
        <w:rPr>
          <w:rFonts w:hint="eastAsia" w:ascii="Times New Roman" w:hAnsi="Times New Roman" w:eastAsia="仿宋_GB2312" w:cs="Times New Roman"/>
          <w:sz w:val="32"/>
          <w14:ligatures w14:val="none"/>
        </w:rPr>
        <w:t>7</w:t>
      </w:r>
      <w:r>
        <w:rPr>
          <w:rFonts w:ascii="Times New Roman" w:hAnsi="Times New Roman" w:eastAsia="仿宋_GB2312" w:cs="Times New Roman"/>
          <w:sz w:val="32"/>
          <w14:ligatures w14:val="none"/>
        </w:rPr>
        <w:t>个测试项目的技术指标要求。技术指标的确定以兼顾先进性和可行性为原则。</w:t>
      </w:r>
    </w:p>
    <w:p w14:paraId="6E6E62A5">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本标准对于重卡轮胎标准橡胶的基本性能要求，包括：</w:t>
      </w:r>
      <w:bookmarkStart w:id="5" w:name="_Hlk209011114"/>
      <w:r>
        <w:rPr>
          <w:rFonts w:hint="eastAsia" w:ascii="Times New Roman" w:hAnsi="Times New Roman" w:eastAsia="仿宋_GB2312" w:cs="Times New Roman"/>
          <w:sz w:val="32"/>
          <w14:ligatures w14:val="none"/>
        </w:rPr>
        <w:t>挥发分、灰分、杂质、氮含量、丙酮抽出物、硬度、门尼粘度、拉伸强度、拉断伸长率、塑性初值P</w:t>
      </w:r>
      <w:r>
        <w:rPr>
          <w:rFonts w:hint="eastAsia" w:ascii="Times New Roman" w:hAnsi="Times New Roman" w:eastAsia="仿宋_GB2312" w:cs="Times New Roman"/>
          <w:sz w:val="32"/>
          <w:vertAlign w:val="subscript"/>
          <w14:ligatures w14:val="none"/>
        </w:rPr>
        <w:t>0</w:t>
      </w:r>
      <w:r>
        <w:rPr>
          <w:rFonts w:hint="eastAsia" w:ascii="Times New Roman" w:hAnsi="Times New Roman" w:eastAsia="仿宋_GB2312" w:cs="Times New Roman"/>
          <w:sz w:val="32"/>
          <w14:ligatures w14:val="none"/>
        </w:rPr>
        <w:t>、塑性保持率PRI、撕裂强度、压缩生热、回弹值、压缩永久变形、阿克隆磨耗、DIN磨耗</w:t>
      </w:r>
      <w:bookmarkEnd w:id="5"/>
      <w:r>
        <w:rPr>
          <w:rFonts w:hint="eastAsia" w:ascii="Times New Roman" w:hAnsi="Times New Roman" w:eastAsia="仿宋_GB2312" w:cs="Times New Roman"/>
          <w:sz w:val="32"/>
          <w14:ligatures w14:val="none"/>
        </w:rPr>
        <w:t>共</w:t>
      </w:r>
      <w:r>
        <w:rPr>
          <w:rFonts w:ascii="Times New Roman" w:hAnsi="Times New Roman" w:eastAsia="仿宋_GB2312" w:cs="Times New Roman"/>
          <w:sz w:val="32"/>
          <w14:ligatures w14:val="none"/>
        </w:rPr>
        <w:t>1</w:t>
      </w:r>
      <w:r>
        <w:rPr>
          <w:rFonts w:hint="eastAsia" w:ascii="Times New Roman" w:hAnsi="Times New Roman" w:eastAsia="仿宋_GB2312" w:cs="Times New Roman"/>
          <w:sz w:val="32"/>
          <w14:ligatures w14:val="none"/>
        </w:rPr>
        <w:t>7</w:t>
      </w:r>
      <w:r>
        <w:rPr>
          <w:rFonts w:ascii="Times New Roman" w:hAnsi="Times New Roman" w:eastAsia="仿宋_GB2312" w:cs="Times New Roman"/>
          <w:sz w:val="32"/>
          <w14:ligatures w14:val="none"/>
        </w:rPr>
        <w:t>个</w:t>
      </w:r>
      <w:r>
        <w:rPr>
          <w:rFonts w:hint="eastAsia" w:ascii="Times New Roman" w:hAnsi="Times New Roman" w:eastAsia="仿宋_GB2312" w:cs="Times New Roman"/>
          <w:sz w:val="32"/>
          <w14:ligatures w14:val="none"/>
        </w:rPr>
        <w:t>基础性能指标。具体内容如下：</w:t>
      </w:r>
    </w:p>
    <w:p w14:paraId="1BCB5259">
      <w:pPr>
        <w:spacing w:after="0" w:line="560" w:lineRule="exact"/>
        <w:ind w:firstLine="420" w:firstLineChars="200"/>
        <w:jc w:val="center"/>
        <w:rPr>
          <w:rFonts w:ascii="Times New Roman" w:hAnsi="Times New Roman" w:eastAsia="仿宋_GB2312" w:cs="Times New Roman"/>
          <w:sz w:val="32"/>
          <w14:ligatures w14:val="none"/>
        </w:rPr>
      </w:pPr>
      <w:r>
        <w:rPr>
          <w:rFonts w:ascii="Times New Roman" w:hAnsi="Times New Roman" w:eastAsia="黑体" w:cs="Times New Roman"/>
          <w:sz w:val="21"/>
          <w:szCs w:val="21"/>
          <w14:ligatures w14:val="none"/>
        </w:rPr>
        <w:t xml:space="preserve">表2 </w:t>
      </w:r>
      <w:r>
        <w:rPr>
          <w:rFonts w:hint="eastAsia" w:ascii="Times New Roman" w:hAnsi="Times New Roman" w:eastAsia="黑体" w:cs="Times New Roman"/>
          <w:sz w:val="21"/>
          <w:szCs w:val="21"/>
          <w14:ligatures w14:val="none"/>
        </w:rPr>
        <w:t>重卡轮胎标准</w:t>
      </w:r>
      <w:r>
        <w:rPr>
          <w:rFonts w:ascii="Times New Roman" w:hAnsi="Times New Roman" w:eastAsia="黑体" w:cs="Times New Roman"/>
          <w:sz w:val="21"/>
          <w:szCs w:val="21"/>
          <w14:ligatures w14:val="none"/>
        </w:rPr>
        <w:t>橡胶的物理和化学性能规格</w:t>
      </w:r>
    </w:p>
    <w:tbl>
      <w:tblPr>
        <w:tblStyle w:val="16"/>
        <w:tblW w:w="863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820"/>
        <w:gridCol w:w="1985"/>
        <w:gridCol w:w="3827"/>
      </w:tblGrid>
      <w:tr w14:paraId="138703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7" w:hRule="atLeast"/>
          <w:jc w:val="center"/>
        </w:trPr>
        <w:tc>
          <w:tcPr>
            <w:tcW w:w="2820" w:type="dxa"/>
            <w:vAlign w:val="center"/>
          </w:tcPr>
          <w:p w14:paraId="6222E44A">
            <w:pPr>
              <w:widowControl/>
              <w:spacing w:after="0" w:line="240" w:lineRule="auto"/>
              <w:jc w:val="center"/>
              <w:rPr>
                <w:rFonts w:hint="eastAsia" w:ascii="宋体" w:hAnsi="宋体" w:eastAsia="宋体" w:cs="Times New Roman"/>
                <w:kern w:val="0"/>
                <w:sz w:val="18"/>
                <w:szCs w:val="18"/>
                <w14:ligatures w14:val="none"/>
              </w:rPr>
            </w:pPr>
            <w:r>
              <w:rPr>
                <w:rFonts w:ascii="Times New Roman" w:hAnsi="Times New Roman" w:eastAsia="宋体" w:cs="Times New Roman"/>
                <w:kern w:val="0"/>
                <w:sz w:val="21"/>
                <w:szCs w:val="21"/>
                <w14:ligatures w14:val="none"/>
              </w:rPr>
              <w:t>序号</w:t>
            </w:r>
          </w:p>
        </w:tc>
        <w:tc>
          <w:tcPr>
            <w:tcW w:w="1985" w:type="dxa"/>
            <w:vAlign w:val="center"/>
          </w:tcPr>
          <w:p w14:paraId="6F9CE16B">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测试项目</w:t>
            </w:r>
          </w:p>
        </w:tc>
        <w:tc>
          <w:tcPr>
            <w:tcW w:w="3827" w:type="dxa"/>
            <w:vAlign w:val="center"/>
          </w:tcPr>
          <w:p w14:paraId="7080AD58">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执行标准</w:t>
            </w:r>
          </w:p>
        </w:tc>
      </w:tr>
      <w:tr w14:paraId="400E31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3D9778D2">
            <w:pPr>
              <w:widowControl/>
              <w:spacing w:after="0" w:line="240" w:lineRule="auto"/>
              <w:jc w:val="center"/>
              <w:rPr>
                <w:rFonts w:hint="eastAsia" w:ascii="宋体" w:hAnsi="宋体" w:eastAsia="宋体" w:cs="Times New Roman"/>
                <w:kern w:val="0"/>
                <w:sz w:val="18"/>
                <w:szCs w:val="18"/>
                <w14:ligatures w14:val="none"/>
              </w:rPr>
            </w:pPr>
            <w:r>
              <w:rPr>
                <w:rFonts w:ascii="Times New Roman" w:hAnsi="Times New Roman" w:eastAsia="宋体" w:cs="Times New Roman"/>
                <w:kern w:val="0"/>
                <w:sz w:val="21"/>
                <w:szCs w:val="21"/>
                <w14:ligatures w14:val="none"/>
              </w:rPr>
              <w:t>1</w:t>
            </w:r>
          </w:p>
        </w:tc>
        <w:tc>
          <w:tcPr>
            <w:tcW w:w="1985" w:type="dxa"/>
            <w:vAlign w:val="center"/>
          </w:tcPr>
          <w:p w14:paraId="7702D8D1">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*挥发份，</w:t>
            </w:r>
            <w:r>
              <w:rPr>
                <w:rFonts w:ascii="宋体" w:hAnsi="宋体" w:eastAsia="宋体" w:cs="Times New Roman"/>
                <w:kern w:val="0"/>
                <w:sz w:val="18"/>
                <w:szCs w:val="18"/>
                <w14:ligatures w14:val="none"/>
              </w:rPr>
              <w:t>％</w:t>
            </w:r>
          </w:p>
        </w:tc>
        <w:tc>
          <w:tcPr>
            <w:tcW w:w="3827" w:type="dxa"/>
            <w:vAlign w:val="center"/>
          </w:tcPr>
          <w:p w14:paraId="4344C389">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≤0.</w:t>
            </w:r>
            <w:r>
              <w:rPr>
                <w:rFonts w:ascii="宋体" w:hAnsi="宋体" w:eastAsia="宋体" w:cs="Times New Roman"/>
                <w:kern w:val="0"/>
                <w:sz w:val="18"/>
                <w:szCs w:val="18"/>
                <w14:ligatures w14:val="none"/>
              </w:rPr>
              <w:t>5</w:t>
            </w:r>
            <w:r>
              <w:rPr>
                <w:rFonts w:hint="eastAsia" w:ascii="宋体" w:hAnsi="宋体" w:eastAsia="宋体" w:cs="Times New Roman"/>
                <w:kern w:val="0"/>
                <w:sz w:val="18"/>
                <w:szCs w:val="18"/>
                <w14:ligatures w14:val="none"/>
              </w:rPr>
              <w:t>0</w:t>
            </w:r>
          </w:p>
        </w:tc>
      </w:tr>
      <w:tr w14:paraId="0F660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7B7F1746">
            <w:pPr>
              <w:widowControl/>
              <w:spacing w:after="0" w:line="240" w:lineRule="auto"/>
              <w:jc w:val="center"/>
              <w:rPr>
                <w:rFonts w:hint="eastAsia" w:ascii="宋体" w:hAnsi="宋体" w:eastAsia="宋体" w:cs="Times New Roman"/>
                <w:kern w:val="0"/>
                <w:sz w:val="18"/>
                <w:szCs w:val="18"/>
                <w14:ligatures w14:val="none"/>
              </w:rPr>
            </w:pPr>
            <w:r>
              <w:rPr>
                <w:rFonts w:ascii="Times New Roman" w:hAnsi="Times New Roman" w:eastAsia="宋体" w:cs="Times New Roman"/>
                <w:kern w:val="0"/>
                <w:sz w:val="21"/>
                <w:szCs w:val="21"/>
                <w14:ligatures w14:val="none"/>
              </w:rPr>
              <w:t>2</w:t>
            </w:r>
          </w:p>
        </w:tc>
        <w:tc>
          <w:tcPr>
            <w:tcW w:w="1985" w:type="dxa"/>
            <w:vAlign w:val="center"/>
          </w:tcPr>
          <w:p w14:paraId="55ACCE4A">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*灰分，</w:t>
            </w:r>
            <w:r>
              <w:rPr>
                <w:rFonts w:ascii="宋体" w:hAnsi="宋体" w:eastAsia="宋体" w:cs="Times New Roman"/>
                <w:kern w:val="0"/>
                <w:sz w:val="18"/>
                <w:szCs w:val="18"/>
                <w14:ligatures w14:val="none"/>
              </w:rPr>
              <w:t>％</w:t>
            </w:r>
          </w:p>
        </w:tc>
        <w:tc>
          <w:tcPr>
            <w:tcW w:w="3827" w:type="dxa"/>
            <w:vAlign w:val="center"/>
          </w:tcPr>
          <w:p w14:paraId="6172E272">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≤1.00</w:t>
            </w:r>
          </w:p>
        </w:tc>
      </w:tr>
      <w:tr w14:paraId="0D187D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587534AC">
            <w:pPr>
              <w:widowControl/>
              <w:spacing w:after="0" w:line="240" w:lineRule="auto"/>
              <w:jc w:val="center"/>
              <w:rPr>
                <w:rFonts w:hint="eastAsia" w:ascii="宋体" w:hAnsi="宋体" w:eastAsia="宋体" w:cs="Times New Roman"/>
                <w:kern w:val="0"/>
                <w:sz w:val="18"/>
                <w:szCs w:val="18"/>
                <w14:ligatures w14:val="none"/>
              </w:rPr>
            </w:pPr>
            <w:r>
              <w:rPr>
                <w:rFonts w:ascii="Times New Roman" w:hAnsi="Times New Roman" w:eastAsia="宋体" w:cs="Times New Roman"/>
                <w:kern w:val="0"/>
                <w:sz w:val="21"/>
                <w:szCs w:val="21"/>
                <w14:ligatures w14:val="none"/>
              </w:rPr>
              <w:t>3</w:t>
            </w:r>
          </w:p>
        </w:tc>
        <w:tc>
          <w:tcPr>
            <w:tcW w:w="1985" w:type="dxa"/>
            <w:vAlign w:val="center"/>
          </w:tcPr>
          <w:p w14:paraId="2372903D">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杂质</w:t>
            </w:r>
            <w:r>
              <w:rPr>
                <w:rFonts w:ascii="宋体" w:hAnsi="宋体" w:eastAsia="宋体" w:cs="Times New Roman"/>
                <w:kern w:val="0"/>
                <w:sz w:val="18"/>
                <w:szCs w:val="18"/>
                <w14:ligatures w14:val="none"/>
              </w:rPr>
              <w:t>，％</w:t>
            </w:r>
          </w:p>
        </w:tc>
        <w:tc>
          <w:tcPr>
            <w:tcW w:w="3827" w:type="dxa"/>
            <w:vAlign w:val="center"/>
          </w:tcPr>
          <w:p w14:paraId="7D144142">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≤0.16</w:t>
            </w:r>
          </w:p>
        </w:tc>
      </w:tr>
      <w:tr w14:paraId="028D7C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7F997975">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4</w:t>
            </w:r>
          </w:p>
        </w:tc>
        <w:tc>
          <w:tcPr>
            <w:tcW w:w="1985" w:type="dxa"/>
            <w:vAlign w:val="center"/>
          </w:tcPr>
          <w:p w14:paraId="3DD57F21">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*氮含量</w:t>
            </w: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 xml:space="preserve"> </w:t>
            </w:r>
          </w:p>
        </w:tc>
        <w:tc>
          <w:tcPr>
            <w:tcW w:w="3827" w:type="dxa"/>
            <w:vAlign w:val="center"/>
          </w:tcPr>
          <w:p w14:paraId="427AF81E">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w:t>
            </w: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1</w:t>
            </w:r>
            <w:r>
              <w:rPr>
                <w:rFonts w:ascii="宋体" w:hAnsi="宋体" w:eastAsia="宋体" w:cs="Times New Roman"/>
                <w:kern w:val="0"/>
                <w:sz w:val="18"/>
                <w:szCs w:val="18"/>
                <w14:ligatures w14:val="none"/>
              </w:rPr>
              <w:t>0</w:t>
            </w:r>
            <w:r>
              <w:rPr>
                <w:rFonts w:hint="eastAsia" w:ascii="宋体" w:hAnsi="宋体" w:eastAsia="宋体" w:cs="Times New Roman"/>
                <w:kern w:val="0"/>
                <w:sz w:val="18"/>
                <w:szCs w:val="18"/>
                <w14:ligatures w14:val="none"/>
              </w:rPr>
              <w:t>—</w:t>
            </w:r>
            <w:r>
              <w:rPr>
                <w:rFonts w:ascii="宋体" w:hAnsi="宋体" w:eastAsia="宋体" w:cs="Times New Roman"/>
                <w:kern w:val="0"/>
                <w:sz w:val="18"/>
                <w:szCs w:val="18"/>
                <w14:ligatures w14:val="none"/>
              </w:rPr>
              <w:t>0.50</w:t>
            </w:r>
          </w:p>
        </w:tc>
      </w:tr>
      <w:tr w14:paraId="6DA143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08F3DFC6">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5</w:t>
            </w:r>
          </w:p>
        </w:tc>
        <w:tc>
          <w:tcPr>
            <w:tcW w:w="1985" w:type="dxa"/>
            <w:vAlign w:val="center"/>
          </w:tcPr>
          <w:p w14:paraId="0EDC5EE4">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丙酮</w:t>
            </w:r>
            <w:r>
              <w:rPr>
                <w:rFonts w:ascii="宋体" w:hAnsi="宋体" w:eastAsia="宋体" w:cs="Times New Roman"/>
                <w:kern w:val="0"/>
                <w:sz w:val="18"/>
                <w:szCs w:val="18"/>
                <w14:ligatures w14:val="none"/>
              </w:rPr>
              <w:t>抽出物，％</w:t>
            </w:r>
          </w:p>
        </w:tc>
        <w:tc>
          <w:tcPr>
            <w:tcW w:w="3827" w:type="dxa"/>
            <w:vAlign w:val="center"/>
          </w:tcPr>
          <w:p w14:paraId="3730FE87">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1</w:t>
            </w:r>
            <w:r>
              <w:rPr>
                <w:rFonts w:ascii="宋体" w:hAnsi="宋体" w:eastAsia="宋体" w:cs="Times New Roman"/>
                <w:kern w:val="0"/>
                <w:sz w:val="18"/>
                <w:szCs w:val="18"/>
                <w14:ligatures w14:val="none"/>
              </w:rPr>
              <w:t>.00</w:t>
            </w:r>
            <w:r>
              <w:rPr>
                <w:rFonts w:hint="eastAsia" w:ascii="宋体" w:hAnsi="宋体" w:eastAsia="宋体" w:cs="Times New Roman"/>
                <w:kern w:val="0"/>
                <w:sz w:val="18"/>
                <w:szCs w:val="18"/>
                <w14:ligatures w14:val="none"/>
              </w:rPr>
              <w:t>～</w:t>
            </w:r>
            <w:r>
              <w:rPr>
                <w:rFonts w:ascii="宋体" w:hAnsi="宋体" w:eastAsia="宋体" w:cs="Times New Roman"/>
                <w:kern w:val="0"/>
                <w:sz w:val="18"/>
                <w:szCs w:val="18"/>
                <w14:ligatures w14:val="none"/>
              </w:rPr>
              <w:t>4.00</w:t>
            </w:r>
          </w:p>
        </w:tc>
      </w:tr>
      <w:tr w14:paraId="3BD617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5EBA393E">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6</w:t>
            </w:r>
          </w:p>
        </w:tc>
        <w:tc>
          <w:tcPr>
            <w:tcW w:w="1985" w:type="dxa"/>
            <w:vAlign w:val="center"/>
          </w:tcPr>
          <w:p w14:paraId="2932F4F0">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*硬度</w:t>
            </w:r>
            <w:r>
              <w:rPr>
                <w:rFonts w:ascii="宋体" w:hAnsi="宋体" w:eastAsia="宋体" w:cs="Times New Roman"/>
                <w:kern w:val="0"/>
                <w:sz w:val="18"/>
                <w:szCs w:val="18"/>
                <w14:ligatures w14:val="none"/>
              </w:rPr>
              <w:t>，邵尔</w:t>
            </w:r>
            <w:r>
              <w:rPr>
                <w:rFonts w:hint="eastAsia" w:ascii="宋体" w:hAnsi="宋体" w:eastAsia="宋体" w:cs="Times New Roman"/>
                <w:kern w:val="0"/>
                <w:sz w:val="18"/>
                <w:szCs w:val="18"/>
                <w14:ligatures w14:val="none"/>
              </w:rPr>
              <w:t>A型</w:t>
            </w:r>
          </w:p>
        </w:tc>
        <w:tc>
          <w:tcPr>
            <w:tcW w:w="3827" w:type="dxa"/>
            <w:vAlign w:val="center"/>
          </w:tcPr>
          <w:p w14:paraId="22EB66DE">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62</w:t>
            </w:r>
            <w:r>
              <w:rPr>
                <w:rFonts w:hint="eastAsia" w:ascii="宋体" w:hAnsi="宋体" w:eastAsia="宋体" w:cs="宋体"/>
                <w:kern w:val="0"/>
                <w:sz w:val="18"/>
                <w:szCs w:val="18"/>
                <w14:ligatures w14:val="none"/>
              </w:rPr>
              <w:t>±2</w:t>
            </w:r>
          </w:p>
        </w:tc>
      </w:tr>
      <w:tr w14:paraId="798B0B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1F566D09">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7</w:t>
            </w:r>
          </w:p>
        </w:tc>
        <w:tc>
          <w:tcPr>
            <w:tcW w:w="1985" w:type="dxa"/>
            <w:vAlign w:val="center"/>
          </w:tcPr>
          <w:p w14:paraId="51A1C66A">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*门尼粘度，ML</w:t>
            </w:r>
            <w:r>
              <w:rPr>
                <w:rFonts w:ascii="宋体" w:hAnsi="宋体" w:eastAsia="宋体" w:cs="Times New Roman"/>
                <w:kern w:val="0"/>
                <w:sz w:val="18"/>
                <w:szCs w:val="18"/>
                <w:vertAlign w:val="superscript"/>
                <w14:ligatures w14:val="none"/>
              </w:rPr>
              <w:t>100℃</w:t>
            </w:r>
            <w:r>
              <w:rPr>
                <w:rFonts w:ascii="宋体" w:hAnsi="宋体" w:eastAsia="宋体" w:cs="Times New Roman"/>
                <w:kern w:val="0"/>
                <w:sz w:val="18"/>
                <w:szCs w:val="18"/>
                <w:vertAlign w:val="subscript"/>
                <w14:ligatures w14:val="none"/>
              </w:rPr>
              <w:t>1+4</w:t>
            </w:r>
          </w:p>
        </w:tc>
        <w:tc>
          <w:tcPr>
            <w:tcW w:w="3827" w:type="dxa"/>
            <w:vAlign w:val="center"/>
          </w:tcPr>
          <w:p w14:paraId="4645A9AC">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68-94</w:t>
            </w:r>
          </w:p>
        </w:tc>
      </w:tr>
      <w:tr w14:paraId="6AD9AB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663848BC">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8</w:t>
            </w:r>
          </w:p>
        </w:tc>
        <w:tc>
          <w:tcPr>
            <w:tcW w:w="1985" w:type="dxa"/>
            <w:vAlign w:val="center"/>
          </w:tcPr>
          <w:p w14:paraId="184B4584">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*拉伸</w:t>
            </w:r>
            <w:r>
              <w:rPr>
                <w:rFonts w:ascii="宋体" w:hAnsi="宋体" w:eastAsia="宋体" w:cs="Times New Roman"/>
                <w:kern w:val="0"/>
                <w:sz w:val="18"/>
                <w:szCs w:val="18"/>
                <w14:ligatures w14:val="none"/>
              </w:rPr>
              <w:t>强度</w:t>
            </w:r>
            <w:r>
              <w:rPr>
                <w:rFonts w:hint="eastAsia" w:ascii="宋体" w:hAnsi="宋体" w:eastAsia="宋体" w:cs="Times New Roman"/>
                <w:kern w:val="0"/>
                <w:sz w:val="18"/>
                <w:szCs w:val="18"/>
                <w14:ligatures w14:val="none"/>
              </w:rPr>
              <w:t xml:space="preserve">，MPa </w:t>
            </w:r>
          </w:p>
        </w:tc>
        <w:tc>
          <w:tcPr>
            <w:tcW w:w="3827" w:type="dxa"/>
            <w:vAlign w:val="center"/>
          </w:tcPr>
          <w:p w14:paraId="1AB69E0A">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≥15.0</w:t>
            </w:r>
          </w:p>
        </w:tc>
      </w:tr>
      <w:tr w14:paraId="7E2029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3B8B398C">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9</w:t>
            </w:r>
          </w:p>
        </w:tc>
        <w:tc>
          <w:tcPr>
            <w:tcW w:w="1985" w:type="dxa"/>
            <w:vAlign w:val="center"/>
          </w:tcPr>
          <w:p w14:paraId="672B8966">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*拉断伸长率</w:t>
            </w:r>
            <w:r>
              <w:rPr>
                <w:rFonts w:ascii="宋体" w:hAnsi="宋体" w:eastAsia="宋体" w:cs="Times New Roman"/>
                <w:kern w:val="0"/>
                <w:sz w:val="18"/>
                <w:szCs w:val="18"/>
                <w14:ligatures w14:val="none"/>
              </w:rPr>
              <w:t>，％</w:t>
            </w:r>
          </w:p>
        </w:tc>
        <w:tc>
          <w:tcPr>
            <w:tcW w:w="3827" w:type="dxa"/>
            <w:vAlign w:val="center"/>
          </w:tcPr>
          <w:p w14:paraId="0C42EA38">
            <w:pPr>
              <w:adjustRightInd w:val="0"/>
              <w:spacing w:after="0" w:line="240" w:lineRule="auto"/>
              <w:jc w:val="center"/>
              <w:rPr>
                <w:rFonts w:hint="eastAsia" w:ascii="宋体" w:hAnsi="宋体" w:eastAsia="宋体" w:cs="宋体"/>
                <w:kern w:val="0"/>
                <w:sz w:val="18"/>
                <w:szCs w:val="18"/>
                <w14:ligatures w14:val="none"/>
              </w:rPr>
            </w:pPr>
            <w:r>
              <w:rPr>
                <w:rFonts w:hint="eastAsia" w:ascii="宋体" w:hAnsi="宋体" w:eastAsia="宋体" w:cs="Times New Roman"/>
                <w:kern w:val="0"/>
                <w:sz w:val="18"/>
                <w:szCs w:val="18"/>
                <w14:ligatures w14:val="none"/>
              </w:rPr>
              <w:t>≥600</w:t>
            </w:r>
          </w:p>
        </w:tc>
      </w:tr>
      <w:tr w14:paraId="60A0EA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32F28349">
            <w:pPr>
              <w:widowControl/>
              <w:spacing w:after="0" w:line="240" w:lineRule="auto"/>
              <w:jc w:val="center"/>
              <w:rPr>
                <w:rFonts w:hint="eastAsia" w:ascii="宋体" w:hAnsi="宋体" w:eastAsia="宋体" w:cs="Times New Roman"/>
                <w:kern w:val="0"/>
                <w:sz w:val="18"/>
                <w:szCs w:val="18"/>
                <w14:ligatures w14:val="none"/>
              </w:rPr>
            </w:pPr>
            <w:r>
              <w:rPr>
                <w:rFonts w:ascii="Times New Roman" w:hAnsi="Times New Roman" w:eastAsia="宋体" w:cs="Times New Roman"/>
                <w:kern w:val="0"/>
                <w:sz w:val="21"/>
                <w:szCs w:val="21"/>
                <w14:ligatures w14:val="none"/>
              </w:rPr>
              <w:t>1</w:t>
            </w:r>
            <w:r>
              <w:rPr>
                <w:rFonts w:hint="eastAsia" w:ascii="Times New Roman" w:hAnsi="Times New Roman" w:eastAsia="宋体" w:cs="Times New Roman"/>
                <w:kern w:val="0"/>
                <w:sz w:val="21"/>
                <w:szCs w:val="21"/>
                <w14:ligatures w14:val="none"/>
              </w:rPr>
              <w:t>0</w:t>
            </w:r>
          </w:p>
        </w:tc>
        <w:tc>
          <w:tcPr>
            <w:tcW w:w="1985" w:type="dxa"/>
            <w:vAlign w:val="center"/>
          </w:tcPr>
          <w:p w14:paraId="1CA3615C">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*塑性</w:t>
            </w:r>
            <w:r>
              <w:rPr>
                <w:rFonts w:ascii="宋体" w:hAnsi="宋体" w:eastAsia="宋体" w:cs="Times New Roman"/>
                <w:kern w:val="0"/>
                <w:sz w:val="18"/>
                <w:szCs w:val="18"/>
                <w14:ligatures w14:val="none"/>
              </w:rPr>
              <w:t>初值</w:t>
            </w:r>
            <w:r>
              <w:rPr>
                <w:rFonts w:hint="eastAsia" w:ascii="宋体" w:hAnsi="宋体" w:eastAsia="宋体" w:cs="Times New Roman"/>
                <w:kern w:val="0"/>
                <w:sz w:val="18"/>
                <w:szCs w:val="18"/>
                <w14:ligatures w14:val="none"/>
              </w:rPr>
              <w:t>（P</w:t>
            </w:r>
            <w:r>
              <w:rPr>
                <w:rFonts w:hint="eastAsia" w:ascii="宋体" w:hAnsi="宋体" w:eastAsia="宋体" w:cs="Times New Roman"/>
                <w:kern w:val="0"/>
                <w:sz w:val="18"/>
                <w:szCs w:val="18"/>
                <w:vertAlign w:val="subscript"/>
                <w14:ligatures w14:val="none"/>
              </w:rPr>
              <w:t>0</w:t>
            </w:r>
            <w:r>
              <w:rPr>
                <w:rFonts w:hint="eastAsia" w:ascii="宋体" w:hAnsi="宋体" w:eastAsia="宋体" w:cs="Times New Roman"/>
                <w:kern w:val="0"/>
                <w:sz w:val="18"/>
                <w:szCs w:val="18"/>
                <w14:ligatures w14:val="none"/>
              </w:rPr>
              <w:t>）</w:t>
            </w:r>
          </w:p>
        </w:tc>
        <w:tc>
          <w:tcPr>
            <w:tcW w:w="3827" w:type="dxa"/>
            <w:vAlign w:val="center"/>
          </w:tcPr>
          <w:p w14:paraId="42DAD818">
            <w:pPr>
              <w:adjustRightInd w:val="0"/>
              <w:spacing w:after="0" w:line="240" w:lineRule="auto"/>
              <w:jc w:val="center"/>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w:t>
            </w:r>
            <w:r>
              <w:rPr>
                <w:rFonts w:ascii="宋体" w:hAnsi="宋体" w:eastAsia="宋体" w:cs="宋体"/>
                <w:kern w:val="0"/>
                <w:sz w:val="18"/>
                <w:szCs w:val="18"/>
                <w14:ligatures w14:val="none"/>
              </w:rPr>
              <w:t>3</w:t>
            </w:r>
            <w:r>
              <w:rPr>
                <w:rFonts w:hint="eastAsia" w:ascii="宋体" w:hAnsi="宋体" w:eastAsia="宋体" w:cs="宋体"/>
                <w:kern w:val="0"/>
                <w:sz w:val="18"/>
                <w:szCs w:val="18"/>
                <w14:ligatures w14:val="none"/>
              </w:rPr>
              <w:t>0</w:t>
            </w:r>
          </w:p>
        </w:tc>
      </w:tr>
      <w:tr w14:paraId="1BAE4A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18420266">
            <w:pPr>
              <w:widowControl/>
              <w:spacing w:after="0" w:line="240" w:lineRule="auto"/>
              <w:jc w:val="center"/>
              <w:rPr>
                <w:rFonts w:hint="eastAsia" w:ascii="宋体" w:hAnsi="宋体" w:eastAsia="宋体" w:cs="Times New Roman"/>
                <w:kern w:val="0"/>
                <w:sz w:val="18"/>
                <w:szCs w:val="18"/>
                <w14:ligatures w14:val="none"/>
              </w:rPr>
            </w:pPr>
            <w:r>
              <w:rPr>
                <w:rFonts w:ascii="Times New Roman" w:hAnsi="Times New Roman" w:eastAsia="宋体" w:cs="Times New Roman"/>
                <w:kern w:val="0"/>
                <w:sz w:val="21"/>
                <w:szCs w:val="21"/>
                <w14:ligatures w14:val="none"/>
              </w:rPr>
              <w:t>1</w:t>
            </w:r>
            <w:r>
              <w:rPr>
                <w:rFonts w:hint="eastAsia" w:ascii="Times New Roman" w:hAnsi="Times New Roman" w:eastAsia="宋体" w:cs="Times New Roman"/>
                <w:kern w:val="0"/>
                <w:sz w:val="21"/>
                <w:szCs w:val="21"/>
                <w14:ligatures w14:val="none"/>
              </w:rPr>
              <w:t>1</w:t>
            </w:r>
          </w:p>
        </w:tc>
        <w:tc>
          <w:tcPr>
            <w:tcW w:w="1985" w:type="dxa"/>
            <w:vAlign w:val="center"/>
          </w:tcPr>
          <w:p w14:paraId="3762CECF">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*塑性</w:t>
            </w:r>
            <w:r>
              <w:rPr>
                <w:rFonts w:ascii="宋体" w:hAnsi="宋体" w:eastAsia="宋体" w:cs="Times New Roman"/>
                <w:kern w:val="0"/>
                <w:sz w:val="18"/>
                <w:szCs w:val="18"/>
                <w14:ligatures w14:val="none"/>
              </w:rPr>
              <w:t>保持率</w:t>
            </w:r>
            <w:r>
              <w:rPr>
                <w:rFonts w:hint="eastAsia" w:ascii="宋体" w:hAnsi="宋体" w:eastAsia="宋体" w:cs="Times New Roman"/>
                <w:kern w:val="0"/>
                <w:sz w:val="18"/>
                <w:szCs w:val="18"/>
                <w14:ligatures w14:val="none"/>
              </w:rPr>
              <w:t>（PRI）</w:t>
            </w:r>
          </w:p>
        </w:tc>
        <w:tc>
          <w:tcPr>
            <w:tcW w:w="3827" w:type="dxa"/>
            <w:vAlign w:val="center"/>
          </w:tcPr>
          <w:p w14:paraId="64A4A72D">
            <w:pPr>
              <w:adjustRightInd w:val="0"/>
              <w:spacing w:after="0" w:line="240" w:lineRule="auto"/>
              <w:jc w:val="center"/>
              <w:rPr>
                <w:rFonts w:hint="eastAsia" w:ascii="宋体" w:hAnsi="宋体" w:eastAsia="宋体" w:cs="宋体"/>
                <w:kern w:val="0"/>
                <w:sz w:val="18"/>
                <w:szCs w:val="18"/>
                <w14:ligatures w14:val="none"/>
              </w:rPr>
            </w:pPr>
            <w:r>
              <w:rPr>
                <w:rFonts w:ascii="宋体" w:hAnsi="宋体" w:eastAsia="宋体" w:cs="宋体"/>
                <w:kern w:val="0"/>
                <w:sz w:val="18"/>
                <w:szCs w:val="18"/>
                <w14:ligatures w14:val="none"/>
              </w:rPr>
              <w:t>≥</w:t>
            </w:r>
            <w:r>
              <w:rPr>
                <w:rFonts w:hint="eastAsia" w:ascii="宋体" w:hAnsi="宋体" w:eastAsia="宋体" w:cs="宋体"/>
                <w:kern w:val="0"/>
                <w:sz w:val="18"/>
                <w:szCs w:val="18"/>
                <w14:ligatures w14:val="none"/>
              </w:rPr>
              <w:t>40</w:t>
            </w:r>
          </w:p>
        </w:tc>
      </w:tr>
      <w:tr w14:paraId="43B08D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08628DF5">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12</w:t>
            </w:r>
          </w:p>
        </w:tc>
        <w:tc>
          <w:tcPr>
            <w:tcW w:w="1985" w:type="dxa"/>
            <w:vAlign w:val="center"/>
          </w:tcPr>
          <w:p w14:paraId="47EC9F49">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撕裂强度，</w:t>
            </w:r>
            <w:r>
              <w:rPr>
                <w:rFonts w:ascii="宋体" w:hAnsi="宋体" w:eastAsia="宋体" w:cs="Times New Roman"/>
                <w:kern w:val="0"/>
                <w:sz w:val="18"/>
                <w:szCs w:val="18"/>
                <w14:ligatures w14:val="none"/>
              </w:rPr>
              <w:t>kN</w:t>
            </w:r>
            <w:r>
              <w:rPr>
                <w:rFonts w:hint="eastAsia" w:ascii="宋体" w:hAnsi="宋体" w:eastAsia="宋体" w:cs="Times New Roman"/>
                <w:kern w:val="0"/>
                <w:sz w:val="18"/>
                <w:szCs w:val="18"/>
                <w14:ligatures w14:val="none"/>
              </w:rPr>
              <w:t>/</w:t>
            </w:r>
            <w:r>
              <w:rPr>
                <w:rFonts w:ascii="宋体" w:hAnsi="宋体" w:eastAsia="宋体" w:cs="Times New Roman"/>
                <w:kern w:val="0"/>
                <w:sz w:val="18"/>
                <w:szCs w:val="18"/>
                <w14:ligatures w14:val="none"/>
              </w:rPr>
              <w:t>m</w:t>
            </w:r>
          </w:p>
        </w:tc>
        <w:tc>
          <w:tcPr>
            <w:tcW w:w="3827" w:type="dxa"/>
            <w:vAlign w:val="center"/>
          </w:tcPr>
          <w:p w14:paraId="5BA77E99">
            <w:pPr>
              <w:adjustRightInd w:val="0"/>
              <w:spacing w:after="0" w:line="240" w:lineRule="auto"/>
              <w:jc w:val="center"/>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≥40</w:t>
            </w:r>
          </w:p>
        </w:tc>
      </w:tr>
      <w:tr w14:paraId="7D1FE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6733F9A5">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13</w:t>
            </w:r>
          </w:p>
        </w:tc>
        <w:tc>
          <w:tcPr>
            <w:tcW w:w="1985" w:type="dxa"/>
            <w:vAlign w:val="center"/>
          </w:tcPr>
          <w:p w14:paraId="4FFD2674">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压缩</w:t>
            </w:r>
            <w:r>
              <w:rPr>
                <w:rFonts w:ascii="宋体" w:hAnsi="宋体" w:eastAsia="宋体" w:cs="Times New Roman"/>
                <w:kern w:val="0"/>
                <w:sz w:val="18"/>
                <w:szCs w:val="18"/>
                <w14:ligatures w14:val="none"/>
              </w:rPr>
              <w:t>生热，℃</w:t>
            </w:r>
          </w:p>
        </w:tc>
        <w:tc>
          <w:tcPr>
            <w:tcW w:w="3827" w:type="dxa"/>
            <w:vAlign w:val="center"/>
          </w:tcPr>
          <w:p w14:paraId="3DB8FF1E">
            <w:pPr>
              <w:adjustRightInd w:val="0"/>
              <w:spacing w:after="0" w:line="240" w:lineRule="auto"/>
              <w:jc w:val="center"/>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≤34</w:t>
            </w:r>
          </w:p>
        </w:tc>
      </w:tr>
      <w:tr w14:paraId="66ACA0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4BDEB7CD">
            <w:pPr>
              <w:widowControl/>
              <w:spacing w:after="0" w:line="240" w:lineRule="auto"/>
              <w:jc w:val="center"/>
              <w:rPr>
                <w:rFonts w:hint="eastAsia" w:ascii="宋体" w:hAnsi="宋体" w:eastAsia="宋体" w:cs="Times New Roman"/>
                <w:kern w:val="0"/>
                <w:sz w:val="18"/>
                <w:szCs w:val="18"/>
                <w14:ligatures w14:val="none"/>
              </w:rPr>
            </w:pPr>
            <w:r>
              <w:rPr>
                <w:rFonts w:hint="eastAsia" w:ascii="Times New Roman" w:hAnsi="Times New Roman" w:eastAsia="宋体" w:cs="Times New Roman"/>
                <w:kern w:val="0"/>
                <w:sz w:val="21"/>
                <w:szCs w:val="21"/>
                <w14:ligatures w14:val="none"/>
              </w:rPr>
              <w:t>14</w:t>
            </w:r>
          </w:p>
        </w:tc>
        <w:tc>
          <w:tcPr>
            <w:tcW w:w="1985" w:type="dxa"/>
            <w:vAlign w:val="center"/>
          </w:tcPr>
          <w:p w14:paraId="3A3E181A">
            <w:pPr>
              <w:spacing w:after="0" w:line="240" w:lineRule="auto"/>
              <w:jc w:val="center"/>
              <w:rPr>
                <w:rFonts w:hint="eastAsia" w:ascii="Times New Roman" w:hAnsi="宋体" w:eastAsia="宋体" w:cs="Times New Roman"/>
                <w:kern w:val="0"/>
                <w:sz w:val="18"/>
                <w:szCs w:val="18"/>
                <w14:ligatures w14:val="none"/>
              </w:rPr>
            </w:pPr>
            <w:r>
              <w:rPr>
                <w:rFonts w:hint="eastAsia" w:ascii="宋体" w:hAnsi="宋体" w:eastAsia="宋体" w:cs="Times New Roman"/>
                <w:kern w:val="0"/>
                <w:sz w:val="18"/>
                <w:szCs w:val="18"/>
                <w14:ligatures w14:val="none"/>
              </w:rPr>
              <w:t>回弹值/%</w:t>
            </w:r>
          </w:p>
        </w:tc>
        <w:tc>
          <w:tcPr>
            <w:tcW w:w="3827" w:type="dxa"/>
            <w:vAlign w:val="center"/>
          </w:tcPr>
          <w:p w14:paraId="7B2F751C">
            <w:pPr>
              <w:adjustRightInd w:val="0"/>
              <w:spacing w:after="0" w:line="240" w:lineRule="auto"/>
              <w:jc w:val="center"/>
              <w:rPr>
                <w:rFonts w:hint="eastAsia" w:ascii="宋体" w:hAnsi="宋体" w:eastAsia="宋体" w:cs="宋体"/>
                <w:kern w:val="0"/>
                <w:sz w:val="18"/>
                <w:szCs w:val="18"/>
                <w14:ligatures w14:val="none"/>
              </w:rPr>
            </w:pPr>
            <w:r>
              <w:rPr>
                <w:rFonts w:ascii="宋体" w:hAnsi="宋体" w:eastAsia="宋体" w:cs="宋体"/>
                <w:kern w:val="0"/>
                <w:sz w:val="18"/>
                <w:szCs w:val="18"/>
                <w14:ligatures w14:val="none"/>
              </w:rPr>
              <w:t>≥</w:t>
            </w:r>
            <w:r>
              <w:rPr>
                <w:rFonts w:hint="eastAsia" w:ascii="宋体" w:hAnsi="宋体" w:eastAsia="宋体" w:cs="宋体"/>
                <w:kern w:val="0"/>
                <w:sz w:val="18"/>
                <w:szCs w:val="18"/>
                <w14:ligatures w14:val="none"/>
              </w:rPr>
              <w:t>53</w:t>
            </w:r>
          </w:p>
        </w:tc>
      </w:tr>
      <w:tr w14:paraId="303BBB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07A71B71">
            <w:pPr>
              <w:spacing w:after="0" w:line="240" w:lineRule="auto"/>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15</w:t>
            </w:r>
          </w:p>
        </w:tc>
        <w:tc>
          <w:tcPr>
            <w:tcW w:w="1985" w:type="dxa"/>
            <w:vAlign w:val="center"/>
          </w:tcPr>
          <w:p w14:paraId="30D46205">
            <w:pPr>
              <w:spacing w:after="0" w:line="240" w:lineRule="auto"/>
              <w:jc w:val="center"/>
              <w:rPr>
                <w:rFonts w:hint="eastAsia" w:ascii="Times New Roman" w:hAnsi="宋体" w:eastAsia="宋体" w:cs="Times New Roman"/>
                <w:kern w:val="0"/>
                <w:sz w:val="18"/>
                <w:szCs w:val="18"/>
                <w14:ligatures w14:val="none"/>
              </w:rPr>
            </w:pPr>
            <w:r>
              <w:rPr>
                <w:rFonts w:hint="eastAsia" w:ascii="Times New Roman" w:hAnsi="宋体" w:eastAsia="宋体" w:cs="Times New Roman"/>
                <w:kern w:val="0"/>
                <w:sz w:val="18"/>
                <w:szCs w:val="18"/>
                <w14:ligatures w14:val="none"/>
              </w:rPr>
              <w:t>压缩永久变形</w:t>
            </w:r>
            <w:r>
              <w:rPr>
                <w:rFonts w:hint="eastAsia" w:ascii="宋体" w:hAnsi="宋体" w:eastAsia="宋体" w:cs="Times New Roman"/>
                <w:kern w:val="0"/>
                <w:sz w:val="18"/>
                <w:szCs w:val="18"/>
                <w14:ligatures w14:val="none"/>
              </w:rPr>
              <w:t>/</w:t>
            </w:r>
            <w:r>
              <w:rPr>
                <w:rFonts w:hint="eastAsia" w:ascii="Times New Roman" w:hAnsi="宋体" w:eastAsia="宋体" w:cs="Times New Roman"/>
                <w:kern w:val="0"/>
                <w:sz w:val="18"/>
                <w:szCs w:val="18"/>
                <w14:ligatures w14:val="none"/>
              </w:rPr>
              <w:t>%</w:t>
            </w:r>
          </w:p>
        </w:tc>
        <w:tc>
          <w:tcPr>
            <w:tcW w:w="3827" w:type="dxa"/>
            <w:vAlign w:val="center"/>
          </w:tcPr>
          <w:p w14:paraId="5EC1147C">
            <w:pPr>
              <w:adjustRightInd w:val="0"/>
              <w:spacing w:after="0" w:line="240" w:lineRule="auto"/>
              <w:jc w:val="center"/>
              <w:rPr>
                <w:rFonts w:hint="eastAsia" w:ascii="宋体" w:hAnsi="宋体" w:eastAsia="宋体" w:cs="宋体"/>
                <w:kern w:val="0"/>
                <w:sz w:val="18"/>
                <w:szCs w:val="18"/>
                <w14:ligatures w14:val="none"/>
              </w:rPr>
            </w:pPr>
            <w:r>
              <w:rPr>
                <w:rFonts w:ascii="宋体" w:hAnsi="宋体" w:eastAsia="宋体" w:cs="宋体"/>
                <w:kern w:val="0"/>
                <w:sz w:val="18"/>
                <w:szCs w:val="18"/>
                <w14:ligatures w14:val="none"/>
              </w:rPr>
              <w:t>≤</w:t>
            </w:r>
            <w:r>
              <w:rPr>
                <w:rFonts w:hint="eastAsia" w:ascii="宋体" w:hAnsi="宋体" w:eastAsia="宋体" w:cs="宋体"/>
                <w:kern w:val="0"/>
                <w:sz w:val="18"/>
                <w:szCs w:val="18"/>
                <w14:ligatures w14:val="none"/>
              </w:rPr>
              <w:t>30</w:t>
            </w:r>
          </w:p>
        </w:tc>
      </w:tr>
      <w:tr w14:paraId="341B1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2D5002C4">
            <w:pPr>
              <w:spacing w:after="0" w:line="240" w:lineRule="auto"/>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16</w:t>
            </w:r>
          </w:p>
        </w:tc>
        <w:tc>
          <w:tcPr>
            <w:tcW w:w="1985" w:type="dxa"/>
            <w:vAlign w:val="center"/>
          </w:tcPr>
          <w:p w14:paraId="7186F74F">
            <w:pPr>
              <w:spacing w:after="0" w:line="240" w:lineRule="auto"/>
              <w:jc w:val="center"/>
              <w:rPr>
                <w:rFonts w:hint="eastAsia" w:ascii="Times New Roman" w:hAnsi="宋体" w:eastAsia="宋体" w:cs="Times New Roman"/>
                <w:kern w:val="0"/>
                <w:sz w:val="18"/>
                <w:szCs w:val="18"/>
                <w14:ligatures w14:val="none"/>
              </w:rPr>
            </w:pPr>
            <w:r>
              <w:rPr>
                <w:rFonts w:hint="eastAsia" w:ascii="Times New Roman" w:hAnsi="宋体" w:eastAsia="宋体" w:cs="Times New Roman"/>
                <w:kern w:val="0"/>
                <w:sz w:val="18"/>
                <w:szCs w:val="18"/>
                <w14:ligatures w14:val="none"/>
              </w:rPr>
              <w:t>阿克隆磨耗</w:t>
            </w:r>
            <w:r>
              <w:rPr>
                <w:rFonts w:hint="eastAsia" w:ascii="宋体" w:hAnsi="宋体" w:eastAsia="宋体" w:cs="Times New Roman"/>
                <w:kern w:val="0"/>
                <w:sz w:val="18"/>
                <w:szCs w:val="18"/>
                <w14:ligatures w14:val="none"/>
              </w:rPr>
              <w:t>/cm</w:t>
            </w:r>
            <w:r>
              <w:rPr>
                <w:rFonts w:hint="eastAsia" w:ascii="宋体" w:hAnsi="宋体" w:eastAsia="宋体" w:cs="Times New Roman"/>
                <w:kern w:val="0"/>
                <w:sz w:val="18"/>
                <w:szCs w:val="18"/>
                <w:vertAlign w:val="superscript"/>
                <w14:ligatures w14:val="none"/>
              </w:rPr>
              <w:t>3</w:t>
            </w:r>
          </w:p>
        </w:tc>
        <w:tc>
          <w:tcPr>
            <w:tcW w:w="3827" w:type="dxa"/>
            <w:vAlign w:val="center"/>
          </w:tcPr>
          <w:p w14:paraId="61CA974B">
            <w:pPr>
              <w:adjustRightInd w:val="0"/>
              <w:spacing w:after="0" w:line="240" w:lineRule="auto"/>
              <w:jc w:val="center"/>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≤0.25</w:t>
            </w:r>
          </w:p>
        </w:tc>
      </w:tr>
      <w:tr w14:paraId="19934D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820" w:type="dxa"/>
            <w:vAlign w:val="center"/>
          </w:tcPr>
          <w:p w14:paraId="72A1C6E6">
            <w:pPr>
              <w:spacing w:after="0" w:line="240" w:lineRule="auto"/>
              <w:jc w:val="center"/>
              <w:rPr>
                <w:rFonts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17</w:t>
            </w:r>
          </w:p>
        </w:tc>
        <w:tc>
          <w:tcPr>
            <w:tcW w:w="1985" w:type="dxa"/>
            <w:vAlign w:val="center"/>
          </w:tcPr>
          <w:p w14:paraId="43586070">
            <w:pPr>
              <w:spacing w:after="0" w:line="240" w:lineRule="auto"/>
              <w:jc w:val="center"/>
              <w:rPr>
                <w:rFonts w:hint="eastAsia" w:ascii="Times New Roman" w:hAnsi="宋体" w:eastAsia="宋体" w:cs="Times New Roman"/>
                <w:kern w:val="0"/>
                <w:sz w:val="18"/>
                <w:szCs w:val="18"/>
                <w14:ligatures w14:val="none"/>
              </w:rPr>
            </w:pPr>
            <w:r>
              <w:rPr>
                <w:rFonts w:hint="eastAsia" w:ascii="Times New Roman" w:hAnsi="宋体" w:eastAsia="宋体" w:cs="Times New Roman"/>
                <w:kern w:val="0"/>
                <w:sz w:val="18"/>
                <w:szCs w:val="18"/>
                <w14:ligatures w14:val="none"/>
              </w:rPr>
              <w:t>DIN磨耗</w:t>
            </w:r>
            <w:r>
              <w:rPr>
                <w:rFonts w:hint="eastAsia" w:ascii="宋体" w:hAnsi="宋体" w:eastAsia="宋体" w:cs="Times New Roman"/>
                <w:kern w:val="0"/>
                <w:sz w:val="18"/>
                <w:szCs w:val="18"/>
                <w14:ligatures w14:val="none"/>
              </w:rPr>
              <w:t>/ cm</w:t>
            </w:r>
            <w:r>
              <w:rPr>
                <w:rFonts w:hint="eastAsia" w:ascii="宋体" w:hAnsi="宋体" w:eastAsia="宋体" w:cs="Times New Roman"/>
                <w:kern w:val="0"/>
                <w:sz w:val="18"/>
                <w:szCs w:val="18"/>
                <w:vertAlign w:val="superscript"/>
                <w14:ligatures w14:val="none"/>
              </w:rPr>
              <w:t>3</w:t>
            </w:r>
          </w:p>
        </w:tc>
        <w:tc>
          <w:tcPr>
            <w:tcW w:w="3827" w:type="dxa"/>
            <w:vAlign w:val="center"/>
          </w:tcPr>
          <w:p w14:paraId="30787E55">
            <w:pPr>
              <w:adjustRightInd w:val="0"/>
              <w:spacing w:after="0" w:line="240" w:lineRule="auto"/>
              <w:jc w:val="center"/>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≤0.065</w:t>
            </w:r>
          </w:p>
        </w:tc>
      </w:tr>
      <w:tr w14:paraId="7B7A19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632" w:type="dxa"/>
            <w:gridSpan w:val="3"/>
            <w:vAlign w:val="center"/>
          </w:tcPr>
          <w:p w14:paraId="37C42988">
            <w:pPr>
              <w:spacing w:after="0" w:line="240" w:lineRule="auto"/>
              <w:ind w:left="811" w:hanging="448"/>
              <w:jc w:val="both"/>
              <w:rPr>
                <w:rFonts w:ascii="宋体" w:hAnsi="Times New Roman" w:eastAsia="宋体" w:cs="Times New Roman"/>
                <w:kern w:val="0"/>
                <w:sz w:val="18"/>
                <w:szCs w:val="18"/>
                <w14:ligatures w14:val="none"/>
              </w:rPr>
            </w:pPr>
            <w:r>
              <w:rPr>
                <w:rFonts w:hint="eastAsia" w:ascii="宋体" w:hAnsi="Times New Roman" w:eastAsia="宋体" w:cs="Times New Roman"/>
                <w:kern w:val="0"/>
                <w:sz w:val="18"/>
                <w:szCs w:val="18"/>
                <w14:ligatures w14:val="none"/>
              </w:rPr>
              <w:t>鉴定</w:t>
            </w:r>
            <w:r>
              <w:rPr>
                <w:rFonts w:ascii="宋体" w:hAnsi="Times New Roman" w:eastAsia="宋体" w:cs="Times New Roman"/>
                <w:kern w:val="0"/>
                <w:sz w:val="18"/>
                <w:szCs w:val="18"/>
                <w14:ligatures w14:val="none"/>
              </w:rPr>
              <w:t>配方：</w:t>
            </w:r>
            <w:r>
              <w:rPr>
                <w:rFonts w:hint="eastAsia" w:ascii="宋体" w:hAnsi="Times New Roman" w:eastAsia="宋体" w:cs="Times New Roman"/>
                <w:kern w:val="0"/>
                <w:sz w:val="18"/>
                <w:szCs w:val="18"/>
                <w14:ligatures w14:val="none"/>
              </w:rPr>
              <w:t>天然橡胶100.00、氧化锌5.00、硬脂酸2.00、防老剂4020NA 1.00、炭黑N330 35.00、硫黄2.25、促进剂NS 0.70。</w:t>
            </w:r>
          </w:p>
        </w:tc>
      </w:tr>
    </w:tbl>
    <w:p w14:paraId="162B6E76">
      <w:pPr>
        <w:numPr>
          <w:ilvl w:val="0"/>
          <w:numId w:val="1"/>
        </w:num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关于本标准的确定依据</w:t>
      </w:r>
    </w:p>
    <w:p w14:paraId="1B39538D">
      <w:p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本标准的提出主要依据现有重卡轮胎专用天然胶的应用情况、实验室专业测试与综合评价的结果及相关进口重卡轮胎专用橡胶的性能提出</w:t>
      </w:r>
      <w:r>
        <w:rPr>
          <w:rFonts w:ascii="Times New Roman" w:hAnsi="Times New Roman" w:eastAsia="仿宋_GB2312" w:cs="Times New Roman"/>
          <w:sz w:val="32"/>
          <w14:ligatures w14:val="none"/>
        </w:rPr>
        <w:t>。</w:t>
      </w:r>
      <w:r>
        <w:rPr>
          <w:rFonts w:hint="eastAsia" w:ascii="Times New Roman" w:hAnsi="Times New Roman" w:eastAsia="仿宋_GB2312" w:cs="Times New Roman"/>
          <w:sz w:val="32"/>
          <w14:ligatures w14:val="none"/>
        </w:rPr>
        <w:t>具体依据如下：</w:t>
      </w:r>
    </w:p>
    <w:p w14:paraId="1C2168F8">
      <w:p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（1）</w:t>
      </w:r>
      <w:r>
        <w:rPr>
          <w:rFonts w:hint="eastAsia" w:ascii="仿宋" w:hAnsi="仿宋" w:eastAsia="仿宋" w:cs="仿宋"/>
          <w:sz w:val="32"/>
          <w14:ligatures w14:val="none"/>
        </w:rPr>
        <w:t>严格依据</w:t>
      </w:r>
      <w:r>
        <w:rPr>
          <w:rFonts w:hint="eastAsia" w:ascii="Times New Roman" w:hAnsi="Times New Roman" w:eastAsia="仿宋_GB2312" w:cs="Times New Roman"/>
          <w:sz w:val="32"/>
          <w14:ligatures w14:val="none"/>
        </w:rPr>
        <w:t>GB/T 8086《天然生胶 杂质含量的测定》、GB/T 8087《天然生胶 灰分含量的测定》、GB/T 8088《天然生胶 氮含量的测定》和GB/T 8085《天然生胶和天然胶乳 氮含量的测定》等国内标准进行系统验证，证明：重卡轮胎标准天然橡胶的化学成分与纯度控制指标确定为：挥发份≤ 0.50 %；灰分≤ 1.00 %；氮含量0.10-0.50 %；杂质含量≤ 0.16 %；丙酮抽出物1.00～4.00%。≤0.50%的低挥发份确保了胶料在高温加工（如硫化）过程中不会因过多水分或低分子物挥发而产生气泡、微孔等缺陷，保证制品内部致密性；≤1.00%的低灰分有效控制了无机盐和外来异物对橡胶网络结构的破坏，显著降低了应力集中点和疲劳裂纹萌生的风险，对提升产品在长期动态载荷下的抗疲劳性能至关重要；0.10—0.50%的氮含量范围则将生胶中的蛋白质含量控制在合理水平，过少可能影响其固有的高强度特性，过多则可能加速吸湿老化和热氧老化；1.00～4.00%的丙酮抽出物范围稳定了天然橡胶中天然树脂、脂肪酸等成分的含量，这些成分对胶料的塑炼、硫化特性及最终物理性能有重要影响，控制其含量可确保胶料加工工艺和最终产品性能的批次稳定性。</w:t>
      </w:r>
    </w:p>
    <w:p w14:paraId="48C4A858">
      <w:p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（2）通过门尼粘度特性试验以及GB/T 1232.1《未硫化橡胶 用圆盘剪切粘度计进行测定 第1部分：门尼粘度的测定》等标准验证，证明：重卡轮胎标准天然橡胶的门尼粘度（ML100℃1+4）定为：68-94。</w:t>
      </w:r>
    </w:p>
    <w:p w14:paraId="3B7B0A6E">
      <w:p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（3）通过材料力学性能测试试验（包括拉伸、撕裂、硬度测试）以及GB/T 528《硫化橡胶或热塑性橡胶 拉伸应力应变性能的测定》、GB/T 529《硫化橡胶或热塑性橡胶 撕裂强度的测定（裤形、直角形和新月形试样）》、GB/T 531.1《硫化橡胶或热塑性橡胶 压入硬度试验方法 第1部分：邵氏硬度计法（邵尔硬度）》等国家标准进行验证，证明：重卡轮胎标准天然橡胶的关键力学性能指标确定为：拉伸强度≥ 15.0 MPa；拉断伸长率≥ 600 %；硬度（邵尔A型）62±2；撕裂强度≥ 40 kN/m。</w:t>
      </w:r>
    </w:p>
    <w:p w14:paraId="7A4BE0A5">
      <w:p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这一系列指标的科学设定基于重卡轮胎的实际工况和长效服役要求：≥15.0 MPa的拉伸强度和≥40 kN/m的撕裂强度确保了制品在复杂交变应力下具有优异的抗破损和抗裂口增长能力；62±2的硬度范围为重卡轮胎提供了适中的静态刚度和动态支撑性，保障了重卡运行的平稳性；≥600%的拉断伸长率则赋予了材料良好的韧性储备和安全余量，以应对极端形变。以上指标共同构成了一个平衡且可靠的性能体系。</w:t>
      </w:r>
    </w:p>
    <w:p w14:paraId="4BF60D1B">
      <w:p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（4）通过压缩疲劳生热试验、华莱士塑性试验，依据GB/T 1687《硫化橡胶 在压缩或剪切状态下动态性能的测定》、GB/T 3510《未硫化胶塑性的测定 快速计法》、GB/T 3517《天然生胶 塑性保持率（PRI）的测定》、GB/T 1687 硫化橡胶在屈挠试验中温升和耐疲劳性能的测定 第2部分：压缩屈挠试验、GB/T 7759.1  硫化橡胶或热塑性橡胶 压缩永久变形的测定 第1部分：在常温及高温条件下、GB/T 1689 硫化橡胶 耐磨性能的测定（用阿克隆磨耗试验机）和GB/T 9867硫化橡胶或热塑性橡胶耐磨性能的测定（旋转辊筒式磨耗机法）证明，重卡轮胎标准天然橡胶的关键动态疲劳性能及加工基础指标确定为：压缩生热≤ 34 ℃；塑性初值（P</w:t>
      </w:r>
      <w:r>
        <w:rPr>
          <w:rFonts w:hint="eastAsia" w:ascii="Times New Roman" w:hAnsi="Times New Roman" w:eastAsia="仿宋_GB2312" w:cs="Times New Roman"/>
          <w:sz w:val="32"/>
          <w:vertAlign w:val="subscript"/>
          <w14:ligatures w14:val="none"/>
        </w:rPr>
        <w:t>0</w:t>
      </w:r>
      <w:r>
        <w:rPr>
          <w:rFonts w:hint="eastAsia" w:ascii="Times New Roman" w:hAnsi="Times New Roman" w:eastAsia="仿宋_GB2312" w:cs="Times New Roman"/>
          <w:sz w:val="32"/>
          <w14:ligatures w14:val="none"/>
        </w:rPr>
        <w:t>）≥ 30；塑性保持率（PRI）≥ 40；回弹值 ≥ 53 %；压缩永久变形≤30%；阿克隆磨耗≤0.25cm</w:t>
      </w:r>
      <w:r>
        <w:rPr>
          <w:rFonts w:hint="eastAsia" w:ascii="Times New Roman" w:hAnsi="Times New Roman" w:eastAsia="仿宋_GB2312" w:cs="Times New Roman"/>
          <w:sz w:val="32"/>
          <w:vertAlign w:val="superscript"/>
          <w14:ligatures w14:val="none"/>
        </w:rPr>
        <w:t>3</w:t>
      </w:r>
      <w:r>
        <w:rPr>
          <w:rFonts w:hint="eastAsia" w:ascii="Times New Roman" w:hAnsi="Times New Roman" w:eastAsia="仿宋_GB2312" w:cs="Times New Roman"/>
          <w:sz w:val="32"/>
          <w14:ligatures w14:val="none"/>
        </w:rPr>
        <w:t>；DIN磨耗≤0.065 cm</w:t>
      </w:r>
      <w:r>
        <w:rPr>
          <w:rFonts w:hint="eastAsia" w:ascii="Times New Roman" w:hAnsi="Times New Roman" w:eastAsia="仿宋_GB2312" w:cs="Times New Roman"/>
          <w:sz w:val="32"/>
          <w:vertAlign w:val="superscript"/>
          <w14:ligatures w14:val="none"/>
        </w:rPr>
        <w:t>3</w:t>
      </w:r>
    </w:p>
    <w:p w14:paraId="3961A5B1">
      <w:p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这一系列指标的设定具有明确的工程应用导向：≤34℃的超低压缩生热、≥53%的高回弹值、≤30%的压缩永久变形、≤0.25cm</w:t>
      </w:r>
      <w:r>
        <w:rPr>
          <w:rFonts w:hint="eastAsia" w:ascii="Times New Roman" w:hAnsi="Times New Roman" w:eastAsia="仿宋_GB2312" w:cs="Times New Roman"/>
          <w:sz w:val="32"/>
          <w:vertAlign w:val="superscript"/>
          <w14:ligatures w14:val="none"/>
        </w:rPr>
        <w:t>3</w:t>
      </w:r>
      <w:r>
        <w:rPr>
          <w:rFonts w:hint="eastAsia" w:ascii="Times New Roman" w:hAnsi="Times New Roman" w:eastAsia="仿宋_GB2312" w:cs="Times New Roman"/>
          <w:sz w:val="32"/>
          <w14:ligatures w14:val="none"/>
        </w:rPr>
        <w:t>阿克隆磨耗和≤0.065 cm</w:t>
      </w:r>
      <w:r>
        <w:rPr>
          <w:rFonts w:hint="eastAsia" w:ascii="Times New Roman" w:hAnsi="Times New Roman" w:eastAsia="仿宋_GB2312" w:cs="Times New Roman"/>
          <w:sz w:val="32"/>
          <w:vertAlign w:val="superscript"/>
          <w14:ligatures w14:val="none"/>
        </w:rPr>
        <w:t>3</w:t>
      </w:r>
      <w:r>
        <w:rPr>
          <w:rFonts w:hint="eastAsia" w:ascii="Times New Roman" w:hAnsi="Times New Roman" w:eastAsia="仿宋_GB2312" w:cs="Times New Roman"/>
          <w:sz w:val="32"/>
          <w14:ligatures w14:val="none"/>
        </w:rPr>
        <w:t>DIN磨耗是保障重卡在高速公路长期高频次动态载荷下，能量损耗低、温升小、磨损量少和抗疲劳老化性能优异的核心依据，直接关系到产品的使用寿命和行车安全；≥30的塑性初值（P</w:t>
      </w:r>
      <w:r>
        <w:rPr>
          <w:rFonts w:hint="eastAsia" w:ascii="Times New Roman" w:hAnsi="Times New Roman" w:eastAsia="仿宋_GB2312" w:cs="Times New Roman"/>
          <w:sz w:val="32"/>
          <w:vertAlign w:val="subscript"/>
          <w14:ligatures w14:val="none"/>
        </w:rPr>
        <w:t>0</w:t>
      </w:r>
      <w:r>
        <w:rPr>
          <w:rFonts w:hint="eastAsia" w:ascii="Times New Roman" w:hAnsi="Times New Roman" w:eastAsia="仿宋_GB2312" w:cs="Times New Roman"/>
          <w:sz w:val="32"/>
          <w14:ligatures w14:val="none"/>
        </w:rPr>
        <w:t>）确保了生胶具有足够的初始分子量和门尼粘度，为混炼胶提供良好的基体强度和加工安全性；≥40的塑性保持率（PRI）则反映了生胶具有优异的抗热氧老化降解能力，保证了胶料在加工过程中的性能稳定性与一致性。以上指标共同构成了评价重卡轮胎用天然生胶耐疲劳性、耐久性及加工适用性的关键体系。</w:t>
      </w:r>
    </w:p>
    <w:p w14:paraId="724FA2F3">
      <w:pPr>
        <w:spacing w:before="312" w:beforeLines="100"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6</w:t>
      </w:r>
      <w:r>
        <w:rPr>
          <w:rFonts w:ascii="Times New Roman" w:hAnsi="Times New Roman" w:eastAsia="仿宋_GB2312" w:cs="Times New Roman"/>
          <w:sz w:val="32"/>
          <w14:ligatures w14:val="none"/>
        </w:rPr>
        <w:t>. 关于本标准的检验规则</w:t>
      </w:r>
    </w:p>
    <w:p w14:paraId="742B44B4">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为确保生产效率，本标准将</w:t>
      </w:r>
      <w:r>
        <w:rPr>
          <w:rFonts w:hint="eastAsia" w:ascii="Times New Roman" w:hAnsi="Times New Roman" w:eastAsia="仿宋_GB2312" w:cs="Times New Roman"/>
          <w:sz w:val="32"/>
          <w14:ligatures w14:val="none"/>
        </w:rPr>
        <w:t>重卡轮胎标准胶</w:t>
      </w:r>
      <w:r>
        <w:rPr>
          <w:rFonts w:ascii="Times New Roman" w:hAnsi="Times New Roman" w:eastAsia="仿宋_GB2312" w:cs="Times New Roman"/>
          <w:sz w:val="32"/>
          <w14:ligatures w14:val="none"/>
        </w:rPr>
        <w:t>的检验类别分为鉴定检验、质量一致性检验。</w:t>
      </w:r>
    </w:p>
    <w:p w14:paraId="3AF7941E">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鉴定检验覆盖全部1</w:t>
      </w:r>
      <w:r>
        <w:rPr>
          <w:rFonts w:hint="eastAsia" w:ascii="Times New Roman" w:hAnsi="Times New Roman" w:eastAsia="仿宋_GB2312" w:cs="Times New Roman"/>
          <w:sz w:val="32"/>
          <w14:ligatures w14:val="none"/>
        </w:rPr>
        <w:t>7</w:t>
      </w:r>
      <w:r>
        <w:rPr>
          <w:rFonts w:ascii="Times New Roman" w:hAnsi="Times New Roman" w:eastAsia="仿宋_GB2312" w:cs="Times New Roman"/>
          <w:sz w:val="32"/>
          <w14:ligatures w14:val="none"/>
        </w:rPr>
        <w:t>个测试项目，只在新的特种胶产品投产或转厂生产时，</w:t>
      </w:r>
      <w:r>
        <w:rPr>
          <w:rFonts w:hint="eastAsia" w:ascii="Times New Roman" w:hAnsi="Times New Roman" w:eastAsia="仿宋_GB2312" w:cs="Times New Roman"/>
          <w:sz w:val="32"/>
          <w14:ligatures w14:val="none"/>
        </w:rPr>
        <w:t>生产过程设备、工艺重大改变</w:t>
      </w:r>
      <w:r>
        <w:rPr>
          <w:rFonts w:ascii="Times New Roman" w:hAnsi="Times New Roman" w:eastAsia="仿宋_GB2312" w:cs="Times New Roman"/>
          <w:sz w:val="32"/>
          <w14:ligatures w14:val="none"/>
        </w:rPr>
        <w:t>，</w:t>
      </w:r>
      <w:r>
        <w:rPr>
          <w:rFonts w:hint="eastAsia" w:ascii="Times New Roman" w:hAnsi="Times New Roman" w:eastAsia="仿宋_GB2312" w:cs="Times New Roman"/>
          <w:sz w:val="32"/>
          <w14:ligatures w14:val="none"/>
        </w:rPr>
        <w:t>胶乳产地、树种变更，</w:t>
      </w:r>
      <w:r>
        <w:rPr>
          <w:rFonts w:ascii="Times New Roman" w:hAnsi="Times New Roman" w:eastAsia="仿宋_GB2312" w:cs="Times New Roman"/>
          <w:sz w:val="32"/>
          <w14:ligatures w14:val="none"/>
        </w:rPr>
        <w:t>或质量一致性检验结果与鉴定检验结果有较大差异时进行；连续生产时，每年进行 1 次全面考核。</w:t>
      </w:r>
    </w:p>
    <w:p w14:paraId="46FA1DF0">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挥发分、灰分、杂质、氮含量、丙酮抽出物、硬度、门尼粘度、拉伸强度、拉断伸长率、塑性初值P</w:t>
      </w:r>
      <w:r>
        <w:rPr>
          <w:rFonts w:hint="eastAsia" w:ascii="Times New Roman" w:hAnsi="Times New Roman" w:eastAsia="仿宋_GB2312" w:cs="Times New Roman"/>
          <w:sz w:val="32"/>
          <w:vertAlign w:val="subscript"/>
          <w14:ligatures w14:val="none"/>
        </w:rPr>
        <w:t>0</w:t>
      </w:r>
      <w:r>
        <w:rPr>
          <w:rFonts w:hint="eastAsia" w:ascii="Times New Roman" w:hAnsi="Times New Roman" w:eastAsia="仿宋_GB2312" w:cs="Times New Roman"/>
          <w:sz w:val="32"/>
          <w14:ligatures w14:val="none"/>
        </w:rPr>
        <w:t>、塑性保持率PRI、撕裂强度、压缩生热、回弹值、压缩永久变形、阿克隆磨耗、DIN磨耗</w:t>
      </w:r>
      <w:r>
        <w:rPr>
          <w:rFonts w:ascii="Times New Roman" w:hAnsi="Times New Roman" w:eastAsia="仿宋_GB2312" w:cs="Times New Roman"/>
          <w:sz w:val="32"/>
          <w14:ligatures w14:val="none"/>
        </w:rPr>
        <w:t>测试项目</w:t>
      </w:r>
      <w:r>
        <w:rPr>
          <w:rFonts w:hint="eastAsia" w:ascii="Times New Roman" w:hAnsi="Times New Roman" w:eastAsia="仿宋_GB2312" w:cs="Times New Roman"/>
          <w:sz w:val="32"/>
          <w14:ligatures w14:val="none"/>
        </w:rPr>
        <w:t>经过起草组研究、调研、验证，具有</w:t>
      </w:r>
      <w:r>
        <w:rPr>
          <w:rFonts w:ascii="Times New Roman" w:hAnsi="Times New Roman" w:eastAsia="仿宋_GB2312" w:cs="Times New Roman"/>
          <w:sz w:val="32"/>
          <w14:ligatures w14:val="none"/>
        </w:rPr>
        <w:t>能够反映</w:t>
      </w:r>
      <w:r>
        <w:rPr>
          <w:rFonts w:hint="eastAsia" w:ascii="Times New Roman" w:hAnsi="Times New Roman" w:eastAsia="仿宋_GB2312" w:cs="Times New Roman"/>
          <w:sz w:val="32"/>
          <w14:ligatures w14:val="none"/>
        </w:rPr>
        <w:t>重卡轮胎标准胶</w:t>
      </w:r>
      <w:r>
        <w:rPr>
          <w:rFonts w:ascii="Times New Roman" w:hAnsi="Times New Roman" w:eastAsia="仿宋_GB2312" w:cs="Times New Roman"/>
          <w:sz w:val="32"/>
          <w14:ligatures w14:val="none"/>
        </w:rPr>
        <w:t>的关键组分与</w:t>
      </w:r>
      <w:r>
        <w:rPr>
          <w:rFonts w:hint="eastAsia" w:ascii="Times New Roman" w:hAnsi="Times New Roman" w:eastAsia="仿宋_GB2312" w:cs="Times New Roman"/>
          <w:sz w:val="32"/>
          <w14:ligatures w14:val="none"/>
        </w:rPr>
        <w:t>性能，</w:t>
      </w:r>
      <w:r>
        <w:rPr>
          <w:rFonts w:ascii="Times New Roman" w:hAnsi="Times New Roman" w:eastAsia="仿宋_GB2312" w:cs="Times New Roman"/>
          <w:sz w:val="32"/>
          <w14:ligatures w14:val="none"/>
        </w:rPr>
        <w:t>确保批次稳定性</w:t>
      </w:r>
      <w:r>
        <w:rPr>
          <w:rFonts w:hint="eastAsia" w:ascii="Times New Roman" w:hAnsi="Times New Roman" w:eastAsia="仿宋_GB2312" w:cs="Times New Roman"/>
          <w:sz w:val="32"/>
          <w14:ligatures w14:val="none"/>
        </w:rPr>
        <w:t>和</w:t>
      </w:r>
      <w:r>
        <w:rPr>
          <w:rFonts w:ascii="Times New Roman" w:hAnsi="Times New Roman" w:eastAsia="仿宋_GB2312" w:cs="Times New Roman"/>
          <w:sz w:val="32"/>
          <w14:ligatures w14:val="none"/>
        </w:rPr>
        <w:t>能够快速检测且成本可控，适合高频次检验</w:t>
      </w:r>
      <w:r>
        <w:rPr>
          <w:rFonts w:hint="eastAsia" w:ascii="Times New Roman" w:hAnsi="Times New Roman" w:eastAsia="仿宋_GB2312" w:cs="Times New Roman"/>
          <w:sz w:val="32"/>
          <w14:ligatures w14:val="none"/>
        </w:rPr>
        <w:t>的特点，因此作为本标准质量一致性检验测试项目。</w:t>
      </w:r>
    </w:p>
    <w:p w14:paraId="045B4E44">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7</w:t>
      </w:r>
      <w:r>
        <w:rPr>
          <w:rFonts w:ascii="Times New Roman" w:hAnsi="Times New Roman" w:eastAsia="仿宋_GB2312" w:cs="Times New Roman"/>
          <w:sz w:val="32"/>
          <w14:ligatures w14:val="none"/>
        </w:rPr>
        <w:t>. 关于本标准的原料</w:t>
      </w:r>
      <w:r>
        <w:rPr>
          <w:rFonts w:hint="eastAsia" w:ascii="Times New Roman" w:hAnsi="Times New Roman" w:eastAsia="仿宋_GB2312" w:cs="Times New Roman"/>
          <w:sz w:val="32"/>
          <w14:ligatures w14:val="none"/>
        </w:rPr>
        <w:t>包装</w:t>
      </w:r>
      <w:r>
        <w:rPr>
          <w:rFonts w:ascii="Times New Roman" w:hAnsi="Times New Roman" w:eastAsia="仿宋_GB2312" w:cs="Times New Roman"/>
          <w:sz w:val="32"/>
          <w14:ligatures w14:val="none"/>
        </w:rPr>
        <w:t>、贮存和运输</w:t>
      </w:r>
    </w:p>
    <w:p w14:paraId="3DD64485">
      <w:pPr>
        <w:spacing w:after="0" w:line="560" w:lineRule="exact"/>
        <w:ind w:firstLine="640" w:firstLineChars="200"/>
        <w:jc w:val="both"/>
        <w:rPr>
          <w:rFonts w:ascii="Times New Roman" w:hAnsi="Times New Roman" w:eastAsia="仿宋_GB2312" w:cs="Times New Roman"/>
          <w:sz w:val="32"/>
          <w:szCs w:val="32"/>
          <w14:ligatures w14:val="none"/>
        </w:rPr>
      </w:pPr>
      <w:r>
        <w:rPr>
          <w:rFonts w:hint="eastAsia" w:ascii="Times New Roman" w:hAnsi="Times New Roman" w:eastAsia="仿宋_GB2312" w:cs="Times New Roman"/>
          <w:sz w:val="32"/>
          <w14:ligatures w14:val="none"/>
        </w:rPr>
        <w:t>标准胶</w:t>
      </w:r>
      <w:r>
        <w:rPr>
          <w:rFonts w:ascii="Times New Roman" w:hAnsi="Times New Roman" w:eastAsia="仿宋_GB2312" w:cs="Times New Roman"/>
          <w:sz w:val="32"/>
          <w14:ligatures w14:val="none"/>
        </w:rPr>
        <w:t>在包装、贮存和运输过程中常因</w:t>
      </w:r>
      <w:r>
        <w:rPr>
          <w:rFonts w:hint="eastAsia" w:ascii="Times New Roman" w:hAnsi="Times New Roman" w:eastAsia="仿宋_GB2312" w:cs="Times New Roman"/>
          <w:sz w:val="32"/>
          <w14:ligatures w14:val="none"/>
        </w:rPr>
        <w:t>标识不清</w:t>
      </w:r>
      <w:r>
        <w:rPr>
          <w:rFonts w:ascii="Times New Roman" w:hAnsi="Times New Roman" w:eastAsia="仿宋_GB2312" w:cs="Times New Roman"/>
          <w:sz w:val="32"/>
          <w14:ligatures w14:val="none"/>
        </w:rPr>
        <w:t>、贮存和运输时处理不当引起的质量差异，导致</w:t>
      </w:r>
      <w:r>
        <w:rPr>
          <w:rFonts w:hint="eastAsia" w:ascii="Times New Roman" w:hAnsi="Times New Roman" w:eastAsia="仿宋_GB2312" w:cs="Times New Roman"/>
          <w:sz w:val="32"/>
          <w14:ligatures w14:val="none"/>
        </w:rPr>
        <w:t>标准胶</w:t>
      </w:r>
      <w:r>
        <w:rPr>
          <w:rFonts w:ascii="Times New Roman" w:hAnsi="Times New Roman" w:eastAsia="仿宋_GB2312" w:cs="Times New Roman"/>
          <w:sz w:val="32"/>
          <w14:ligatures w14:val="none"/>
        </w:rPr>
        <w:t>不符合要求从而带来损失。因此，本标准对</w:t>
      </w:r>
      <w:r>
        <w:rPr>
          <w:rFonts w:hint="eastAsia" w:ascii="Times New Roman" w:hAnsi="Times New Roman" w:eastAsia="仿宋_GB2312" w:cs="Times New Roman"/>
          <w:sz w:val="32"/>
          <w14:ligatures w14:val="none"/>
        </w:rPr>
        <w:t>航空轮胎标准橡胶</w:t>
      </w:r>
      <w:r>
        <w:rPr>
          <w:rFonts w:ascii="Times New Roman" w:hAnsi="Times New Roman" w:eastAsia="仿宋_GB2312" w:cs="Times New Roman"/>
          <w:sz w:val="32"/>
          <w14:ligatures w14:val="none"/>
        </w:rPr>
        <w:t>包装、贮存和运输给出了具体要求。</w:t>
      </w:r>
    </w:p>
    <w:p w14:paraId="600F7689">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三、主要试验或验证的分析、综述报告，技术经济论证，预期的经济效果</w:t>
      </w:r>
    </w:p>
    <w:p w14:paraId="4C4345E7">
      <w:pPr>
        <w:spacing w:after="0" w:line="560" w:lineRule="exact"/>
        <w:ind w:firstLine="643" w:firstLineChars="200"/>
        <w:jc w:val="both"/>
        <w:rPr>
          <w:rFonts w:ascii="Times New Roman" w:hAnsi="Times New Roman" w:eastAsia="楷体_GB2312" w:cs="Times New Roman"/>
          <w:b/>
          <w:bCs/>
          <w:sz w:val="32"/>
          <w14:ligatures w14:val="none"/>
        </w:rPr>
      </w:pPr>
      <w:r>
        <w:rPr>
          <w:rFonts w:ascii="Times New Roman" w:hAnsi="Times New Roman" w:eastAsia="楷体_GB2312" w:cs="Times New Roman"/>
          <w:b/>
          <w:bCs/>
          <w:sz w:val="32"/>
          <w14:ligatures w14:val="none"/>
        </w:rPr>
        <w:t>（一）主要试验或验证的分析、综述报告</w:t>
      </w:r>
    </w:p>
    <w:p w14:paraId="4BDD8A7B">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1. 总体要求</w:t>
      </w:r>
    </w:p>
    <w:p w14:paraId="0D16692D">
      <w:pPr>
        <w:spacing w:after="0" w:line="240" w:lineRule="auto"/>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本标准测试项目、技术指标、试验方法，及其与</w:t>
      </w:r>
      <w:r>
        <w:rPr>
          <w:rFonts w:hint="eastAsia" w:ascii="Times New Roman" w:hAnsi="Times New Roman" w:eastAsia="仿宋_GB2312" w:cs="Times New Roman"/>
          <w:sz w:val="32"/>
          <w14:ligatures w14:val="none"/>
        </w:rPr>
        <w:t>GB/T8089-2007中一级烟胶片以及GB/T 8081-2008/ISO 2000:2003《天然生胶技术分级橡胶(TSR)规格导则》中5号胶工艺</w:t>
      </w:r>
      <w:r>
        <w:rPr>
          <w:rFonts w:ascii="Times New Roman" w:hAnsi="Times New Roman" w:eastAsia="仿宋_GB2312" w:cs="Times New Roman"/>
          <w:sz w:val="32"/>
          <w14:ligatures w14:val="none"/>
        </w:rPr>
        <w:t>指标要求的对比见表3。</w:t>
      </w:r>
    </w:p>
    <w:p w14:paraId="2FCDAAAE">
      <w:pPr>
        <w:widowControl/>
        <w:tabs>
          <w:tab w:val="left" w:pos="0"/>
        </w:tabs>
        <w:spacing w:before="156" w:beforeLines="50" w:after="156" w:afterLines="50" w:line="240" w:lineRule="auto"/>
        <w:jc w:val="center"/>
        <w:rPr>
          <w:rFonts w:ascii="黑体" w:hAnsi="Times New Roman" w:eastAsia="黑体" w:cs="Times New Roman"/>
          <w:kern w:val="0"/>
          <w:sz w:val="21"/>
          <w:szCs w:val="20"/>
          <w14:ligatures w14:val="none"/>
        </w:rPr>
      </w:pPr>
      <w:r>
        <w:rPr>
          <w:rFonts w:ascii="黑体" w:hAnsi="Times New Roman" w:eastAsia="黑体" w:cs="Times New Roman"/>
          <w:kern w:val="0"/>
          <w:sz w:val="21"/>
          <w:szCs w:val="20"/>
          <w14:ligatures w14:val="none"/>
        </w:rPr>
        <w:t>表</w:t>
      </w:r>
      <w:r>
        <w:rPr>
          <w:rFonts w:hint="eastAsia" w:ascii="黑体" w:hAnsi="Times New Roman" w:eastAsia="黑体" w:cs="Times New Roman"/>
          <w:kern w:val="0"/>
          <w:sz w:val="21"/>
          <w:szCs w:val="20"/>
          <w14:ligatures w14:val="none"/>
        </w:rPr>
        <w:t>3</w:t>
      </w:r>
      <w:r>
        <w:rPr>
          <w:rFonts w:ascii="黑体" w:hAnsi="Times New Roman" w:eastAsia="黑体" w:cs="Times New Roman"/>
          <w:kern w:val="0"/>
          <w:sz w:val="21"/>
          <w:szCs w:val="20"/>
          <w14:ligatures w14:val="none"/>
        </w:rPr>
        <w:t>　</w:t>
      </w:r>
      <w:r>
        <w:rPr>
          <w:rFonts w:hint="eastAsia" w:ascii="黑体" w:hAnsi="Times New Roman" w:eastAsia="黑体" w:cs="Times New Roman"/>
          <w:kern w:val="0"/>
          <w:sz w:val="21"/>
          <w:szCs w:val="21"/>
          <w14:ligatures w14:val="none"/>
        </w:rPr>
        <w:t>重卡轮胎</w:t>
      </w:r>
      <w:r>
        <w:rPr>
          <w:rFonts w:hint="eastAsia" w:ascii="黑体" w:hAnsi="Times New Roman" w:eastAsia="黑体" w:cs="Times New Roman"/>
          <w:kern w:val="0"/>
          <w:sz w:val="21"/>
          <w:szCs w:val="20"/>
          <w14:ligatures w14:val="none"/>
        </w:rPr>
        <w:t>标准</w:t>
      </w:r>
      <w:r>
        <w:rPr>
          <w:rFonts w:ascii="黑体" w:hAnsi="Times New Roman" w:eastAsia="黑体" w:cs="Times New Roman"/>
          <w:kern w:val="0"/>
          <w:sz w:val="21"/>
          <w:szCs w:val="20"/>
          <w14:ligatures w14:val="none"/>
        </w:rPr>
        <w:t>橡胶的物理和化学性能规格</w:t>
      </w:r>
    </w:p>
    <w:tbl>
      <w:tblPr>
        <w:tblStyle w:val="16"/>
        <w:tblW w:w="850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02"/>
        <w:gridCol w:w="654"/>
        <w:gridCol w:w="1602"/>
        <w:gridCol w:w="1602"/>
        <w:gridCol w:w="3044"/>
      </w:tblGrid>
      <w:tr w14:paraId="23C6D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2256" w:type="dxa"/>
            <w:gridSpan w:val="2"/>
            <w:tcBorders>
              <w:top w:val="single" w:color="000000" w:sz="12" w:space="0"/>
              <w:left w:val="nil"/>
              <w:bottom w:val="single" w:color="000000" w:sz="4" w:space="0"/>
              <w:right w:val="nil"/>
              <w:tl2br w:val="nil"/>
            </w:tcBorders>
            <w:shd w:val="clear" w:color="auto" w:fill="FFFFFF"/>
            <w:vAlign w:val="center"/>
          </w:tcPr>
          <w:p w14:paraId="0019AC0F">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项目</w:t>
            </w:r>
          </w:p>
        </w:tc>
        <w:tc>
          <w:tcPr>
            <w:tcW w:w="1602" w:type="dxa"/>
            <w:tcBorders>
              <w:top w:val="single" w:color="000000" w:sz="12" w:space="0"/>
              <w:left w:val="nil"/>
              <w:bottom w:val="single" w:color="000000" w:sz="4" w:space="0"/>
              <w:right w:val="nil"/>
            </w:tcBorders>
            <w:shd w:val="clear" w:color="auto" w:fill="FFFFFF"/>
            <w:vAlign w:val="center"/>
          </w:tcPr>
          <w:p w14:paraId="73EA5C91">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一级烟胶片标准</w:t>
            </w:r>
          </w:p>
        </w:tc>
        <w:tc>
          <w:tcPr>
            <w:tcW w:w="1602" w:type="dxa"/>
            <w:tcBorders>
              <w:top w:val="single" w:color="000000" w:sz="12" w:space="0"/>
              <w:left w:val="nil"/>
              <w:bottom w:val="single" w:color="000000" w:sz="4" w:space="0"/>
              <w:right w:val="nil"/>
            </w:tcBorders>
            <w:shd w:val="clear" w:color="auto" w:fill="FFFFFF"/>
            <w:vAlign w:val="center"/>
          </w:tcPr>
          <w:p w14:paraId="00EE0B76">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执行标准</w:t>
            </w:r>
          </w:p>
        </w:tc>
        <w:tc>
          <w:tcPr>
            <w:tcW w:w="3044" w:type="dxa"/>
            <w:tcBorders>
              <w:top w:val="single" w:color="000000" w:sz="12" w:space="0"/>
              <w:left w:val="nil"/>
              <w:bottom w:val="single" w:color="000000" w:sz="4" w:space="0"/>
              <w:right w:val="nil"/>
            </w:tcBorders>
            <w:shd w:val="clear" w:color="auto" w:fill="FFFFFF"/>
            <w:vAlign w:val="center"/>
          </w:tcPr>
          <w:p w14:paraId="473A5475">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检验方法</w:t>
            </w:r>
          </w:p>
        </w:tc>
      </w:tr>
      <w:tr w14:paraId="0685A6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single" w:color="000000" w:sz="4" w:space="0"/>
              <w:left w:val="nil"/>
              <w:bottom w:val="nil"/>
              <w:right w:val="nil"/>
            </w:tcBorders>
            <w:shd w:val="clear" w:color="auto" w:fill="FFFFFF"/>
            <w:vAlign w:val="center"/>
          </w:tcPr>
          <w:p w14:paraId="1DE1D93D">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*挥发分，</w:t>
            </w:r>
            <w:r>
              <w:rPr>
                <w:rFonts w:ascii="宋体" w:hAnsi="宋体" w:eastAsia="宋体" w:cs="Times New Roman"/>
                <w:kern w:val="0"/>
                <w:sz w:val="18"/>
                <w:szCs w:val="18"/>
                <w14:ligatures w14:val="none"/>
              </w:rPr>
              <w:t>％</w:t>
            </w:r>
          </w:p>
        </w:tc>
        <w:tc>
          <w:tcPr>
            <w:tcW w:w="1602" w:type="dxa"/>
            <w:tcBorders>
              <w:top w:val="single" w:color="000000" w:sz="4" w:space="0"/>
              <w:left w:val="nil"/>
              <w:bottom w:val="nil"/>
              <w:right w:val="nil"/>
            </w:tcBorders>
            <w:shd w:val="clear" w:color="auto" w:fill="FFFFFF"/>
            <w:vAlign w:val="center"/>
          </w:tcPr>
          <w:p w14:paraId="7C57CBA7">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≤0.80</w:t>
            </w:r>
          </w:p>
        </w:tc>
        <w:tc>
          <w:tcPr>
            <w:tcW w:w="1602" w:type="dxa"/>
            <w:tcBorders>
              <w:top w:val="single" w:color="000000" w:sz="4" w:space="0"/>
              <w:left w:val="nil"/>
              <w:bottom w:val="nil"/>
              <w:right w:val="nil"/>
            </w:tcBorders>
            <w:shd w:val="clear" w:color="auto" w:fill="FFFFFF"/>
            <w:vAlign w:val="center"/>
          </w:tcPr>
          <w:p w14:paraId="4F2CC558">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w:t>
            </w:r>
            <w:r>
              <w:rPr>
                <w:rFonts w:ascii="宋体" w:hAnsi="宋体" w:eastAsia="宋体" w:cs="Times New Roman"/>
                <w:kern w:val="0"/>
                <w:sz w:val="18"/>
                <w:szCs w:val="18"/>
                <w14:ligatures w14:val="none"/>
              </w:rPr>
              <w:t>5</w:t>
            </w:r>
            <w:r>
              <w:rPr>
                <w:rFonts w:hint="eastAsia" w:ascii="宋体" w:hAnsi="宋体" w:eastAsia="宋体" w:cs="Times New Roman"/>
                <w:kern w:val="0"/>
                <w:sz w:val="18"/>
                <w:szCs w:val="18"/>
                <w14:ligatures w14:val="none"/>
              </w:rPr>
              <w:t>0</w:t>
            </w:r>
          </w:p>
        </w:tc>
        <w:tc>
          <w:tcPr>
            <w:tcW w:w="3044" w:type="dxa"/>
            <w:tcBorders>
              <w:top w:val="single" w:color="000000" w:sz="4" w:space="0"/>
              <w:left w:val="nil"/>
              <w:bottom w:val="nil"/>
              <w:right w:val="nil"/>
            </w:tcBorders>
            <w:shd w:val="clear" w:color="auto" w:fill="FFFFFF"/>
            <w:vAlign w:val="center"/>
          </w:tcPr>
          <w:p w14:paraId="039BAE98">
            <w:pPr>
              <w:adjustRightInd w:val="0"/>
              <w:spacing w:after="0" w:line="240" w:lineRule="auto"/>
              <w:jc w:val="center"/>
              <w:rPr>
                <w:rFonts w:hint="eastAsia" w:ascii="宋体" w:hAnsi="宋体" w:eastAsia="宋体" w:cs="宋体"/>
                <w:kern w:val="0"/>
                <w:sz w:val="18"/>
                <w:szCs w:val="18"/>
                <w14:ligatures w14:val="none"/>
              </w:rPr>
            </w:pPr>
            <w:r>
              <w:rPr>
                <w:rFonts w:ascii="宋体" w:hAnsi="宋体" w:eastAsia="宋体" w:cs="宋体"/>
                <w:kern w:val="0"/>
                <w:sz w:val="18"/>
                <w:szCs w:val="18"/>
                <w14:ligatures w14:val="none"/>
              </w:rPr>
              <w:t>GB/T24131.1:</w:t>
            </w:r>
            <w:r>
              <w:rPr>
                <w:rFonts w:hint="eastAsia" w:ascii="宋体" w:hAnsi="宋体" w:eastAsia="宋体" w:cs="宋体"/>
                <w:kern w:val="0"/>
                <w:sz w:val="18"/>
                <w:szCs w:val="18"/>
                <w14:ligatures w14:val="none"/>
              </w:rPr>
              <w:t>（烘箱法，</w:t>
            </w:r>
            <w:r>
              <w:rPr>
                <w:rFonts w:ascii="宋体" w:hAnsi="宋体" w:eastAsia="宋体" w:cs="宋体"/>
                <w:kern w:val="0"/>
                <w:sz w:val="18"/>
                <w:szCs w:val="18"/>
                <w14:ligatures w14:val="none"/>
              </w:rPr>
              <w:t>105</w:t>
            </w:r>
            <w:r>
              <w:rPr>
                <w:rFonts w:hint="eastAsia" w:ascii="宋体" w:hAnsi="宋体" w:eastAsia="宋体" w:cs="宋体"/>
                <w:kern w:val="0"/>
                <w:sz w:val="18"/>
                <w:szCs w:val="18"/>
                <w14:ligatures w14:val="none"/>
              </w:rPr>
              <w:t>℃±</w:t>
            </w:r>
            <w:r>
              <w:rPr>
                <w:rFonts w:ascii="宋体" w:hAnsi="宋体" w:eastAsia="宋体" w:cs="宋体"/>
                <w:kern w:val="0"/>
                <w:sz w:val="18"/>
                <w:szCs w:val="18"/>
                <w14:ligatures w14:val="none"/>
              </w:rPr>
              <w:t>5</w:t>
            </w:r>
            <w:r>
              <w:rPr>
                <w:rFonts w:hint="eastAsia" w:ascii="宋体" w:hAnsi="宋体" w:eastAsia="宋体" w:cs="宋体"/>
                <w:kern w:val="0"/>
                <w:sz w:val="18"/>
                <w:szCs w:val="18"/>
                <w14:ligatures w14:val="none"/>
              </w:rPr>
              <w:t>℃）</w:t>
            </w:r>
          </w:p>
        </w:tc>
      </w:tr>
      <w:tr w14:paraId="42BE7F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505A1F89">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*灰分，</w:t>
            </w:r>
            <w:r>
              <w:rPr>
                <w:rFonts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2C78AF2D">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≤0.60</w:t>
            </w:r>
          </w:p>
        </w:tc>
        <w:tc>
          <w:tcPr>
            <w:tcW w:w="1602" w:type="dxa"/>
            <w:tcBorders>
              <w:top w:val="nil"/>
              <w:left w:val="nil"/>
              <w:bottom w:val="nil"/>
              <w:right w:val="nil"/>
            </w:tcBorders>
            <w:shd w:val="clear" w:color="auto" w:fill="FFFFFF"/>
            <w:vAlign w:val="center"/>
          </w:tcPr>
          <w:p w14:paraId="2CE5141C">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≤1.00</w:t>
            </w:r>
          </w:p>
        </w:tc>
        <w:tc>
          <w:tcPr>
            <w:tcW w:w="3044" w:type="dxa"/>
            <w:tcBorders>
              <w:top w:val="nil"/>
              <w:left w:val="nil"/>
              <w:bottom w:val="nil"/>
              <w:right w:val="nil"/>
            </w:tcBorders>
            <w:shd w:val="clear" w:color="auto" w:fill="FFFFFF"/>
            <w:vAlign w:val="center"/>
          </w:tcPr>
          <w:p w14:paraId="6B4149F0">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GB/T 4498</w:t>
            </w:r>
          </w:p>
        </w:tc>
      </w:tr>
      <w:tr w14:paraId="6CBAE5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689DFE04">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杂质</w:t>
            </w:r>
            <w:r>
              <w:rPr>
                <w:rFonts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1026D804">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≤0.05</w:t>
            </w:r>
          </w:p>
        </w:tc>
        <w:tc>
          <w:tcPr>
            <w:tcW w:w="1602" w:type="dxa"/>
            <w:tcBorders>
              <w:top w:val="nil"/>
              <w:left w:val="nil"/>
              <w:bottom w:val="nil"/>
              <w:right w:val="nil"/>
            </w:tcBorders>
            <w:shd w:val="clear" w:color="auto" w:fill="FFFFFF"/>
            <w:vAlign w:val="center"/>
          </w:tcPr>
          <w:p w14:paraId="3D39CEE5">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≤0.16</w:t>
            </w:r>
          </w:p>
        </w:tc>
        <w:tc>
          <w:tcPr>
            <w:tcW w:w="3044" w:type="dxa"/>
            <w:tcBorders>
              <w:top w:val="nil"/>
              <w:left w:val="nil"/>
              <w:bottom w:val="nil"/>
              <w:right w:val="nil"/>
            </w:tcBorders>
            <w:shd w:val="clear" w:color="auto" w:fill="FFFFFF"/>
            <w:vAlign w:val="center"/>
          </w:tcPr>
          <w:p w14:paraId="6DC2FEEE">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GB/T 8086</w:t>
            </w:r>
          </w:p>
        </w:tc>
      </w:tr>
      <w:tr w14:paraId="75AC8C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29A60167">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*氮含量</w:t>
            </w:r>
            <w:r>
              <w:rPr>
                <w:rFonts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6090A6DB">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≤0.60</w:t>
            </w:r>
          </w:p>
        </w:tc>
        <w:tc>
          <w:tcPr>
            <w:tcW w:w="1602" w:type="dxa"/>
            <w:tcBorders>
              <w:top w:val="nil"/>
              <w:left w:val="nil"/>
              <w:bottom w:val="nil"/>
              <w:right w:val="nil"/>
            </w:tcBorders>
            <w:shd w:val="clear" w:color="auto" w:fill="FFFFFF"/>
            <w:vAlign w:val="center"/>
          </w:tcPr>
          <w:p w14:paraId="285E029E">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w:t>
            </w: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1</w:t>
            </w:r>
            <w:r>
              <w:rPr>
                <w:rFonts w:ascii="宋体" w:hAnsi="宋体" w:eastAsia="宋体" w:cs="Times New Roman"/>
                <w:kern w:val="0"/>
                <w:sz w:val="18"/>
                <w:szCs w:val="18"/>
                <w14:ligatures w14:val="none"/>
              </w:rPr>
              <w:t>0-0.50</w:t>
            </w:r>
          </w:p>
        </w:tc>
        <w:tc>
          <w:tcPr>
            <w:tcW w:w="3044" w:type="dxa"/>
            <w:tcBorders>
              <w:top w:val="nil"/>
              <w:left w:val="nil"/>
              <w:bottom w:val="nil"/>
              <w:right w:val="nil"/>
            </w:tcBorders>
            <w:shd w:val="clear" w:color="auto" w:fill="FFFFFF"/>
            <w:vAlign w:val="center"/>
          </w:tcPr>
          <w:p w14:paraId="39971FD2">
            <w:pPr>
              <w:adjustRightInd w:val="0"/>
              <w:spacing w:after="0" w:line="240" w:lineRule="auto"/>
              <w:jc w:val="center"/>
              <w:rPr>
                <w:rFonts w:hint="eastAsia" w:ascii="宋体" w:hAnsi="宋体" w:eastAsia="宋体" w:cs="宋体"/>
                <w:kern w:val="0"/>
                <w:sz w:val="18"/>
                <w:szCs w:val="18"/>
                <w14:ligatures w14:val="none"/>
              </w:rPr>
            </w:pPr>
            <w:r>
              <w:rPr>
                <w:rFonts w:ascii="宋体" w:hAnsi="宋体" w:eastAsia="宋体" w:cs="宋体"/>
                <w:kern w:val="0"/>
                <w:sz w:val="18"/>
                <w:szCs w:val="18"/>
                <w14:ligatures w14:val="none"/>
              </w:rPr>
              <w:t>GB/T 8088</w:t>
            </w:r>
          </w:p>
        </w:tc>
      </w:tr>
      <w:tr w14:paraId="4515AB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35F72E66">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丙酮</w:t>
            </w:r>
            <w:r>
              <w:rPr>
                <w:rFonts w:ascii="宋体" w:hAnsi="宋体" w:eastAsia="宋体" w:cs="Times New Roman"/>
                <w:kern w:val="0"/>
                <w:sz w:val="18"/>
                <w:szCs w:val="18"/>
                <w14:ligatures w14:val="none"/>
              </w:rPr>
              <w:t>抽出物，％</w:t>
            </w:r>
          </w:p>
        </w:tc>
        <w:tc>
          <w:tcPr>
            <w:tcW w:w="1602" w:type="dxa"/>
            <w:tcBorders>
              <w:top w:val="nil"/>
              <w:left w:val="nil"/>
              <w:bottom w:val="nil"/>
              <w:right w:val="nil"/>
            </w:tcBorders>
            <w:shd w:val="clear" w:color="auto" w:fill="FFFFFF"/>
            <w:vAlign w:val="center"/>
          </w:tcPr>
          <w:p w14:paraId="66BBCB54">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4D745245">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1</w:t>
            </w:r>
            <w:r>
              <w:rPr>
                <w:rFonts w:ascii="宋体" w:hAnsi="宋体" w:eastAsia="宋体" w:cs="Times New Roman"/>
                <w:kern w:val="0"/>
                <w:sz w:val="18"/>
                <w:szCs w:val="18"/>
                <w14:ligatures w14:val="none"/>
              </w:rPr>
              <w:t>.00</w:t>
            </w:r>
            <w:r>
              <w:rPr>
                <w:rFonts w:hint="eastAsia" w:ascii="宋体" w:hAnsi="宋体" w:eastAsia="宋体" w:cs="Times New Roman"/>
                <w:kern w:val="0"/>
                <w:sz w:val="18"/>
                <w:szCs w:val="18"/>
                <w14:ligatures w14:val="none"/>
              </w:rPr>
              <w:t>～</w:t>
            </w:r>
            <w:r>
              <w:rPr>
                <w:rFonts w:ascii="宋体" w:hAnsi="宋体" w:eastAsia="宋体" w:cs="Times New Roman"/>
                <w:kern w:val="0"/>
                <w:sz w:val="18"/>
                <w:szCs w:val="18"/>
                <w14:ligatures w14:val="none"/>
              </w:rPr>
              <w:t>4.00</w:t>
            </w:r>
          </w:p>
        </w:tc>
        <w:tc>
          <w:tcPr>
            <w:tcW w:w="3044" w:type="dxa"/>
            <w:tcBorders>
              <w:top w:val="nil"/>
              <w:left w:val="nil"/>
              <w:bottom w:val="nil"/>
              <w:right w:val="nil"/>
            </w:tcBorders>
            <w:shd w:val="clear" w:color="auto" w:fill="FFFFFF"/>
            <w:vAlign w:val="center"/>
          </w:tcPr>
          <w:p w14:paraId="02850B78">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GB/T 3516</w:t>
            </w:r>
          </w:p>
        </w:tc>
      </w:tr>
      <w:tr w14:paraId="32B4C5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73B6A877">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*硬度</w:t>
            </w:r>
            <w:r>
              <w:rPr>
                <w:rFonts w:ascii="宋体" w:hAnsi="宋体" w:eastAsia="宋体" w:cs="Times New Roman"/>
                <w:kern w:val="0"/>
                <w:sz w:val="18"/>
                <w:szCs w:val="18"/>
                <w14:ligatures w14:val="none"/>
              </w:rPr>
              <w:t>，邵尔</w:t>
            </w:r>
            <w:r>
              <w:rPr>
                <w:rFonts w:hint="eastAsia" w:ascii="宋体" w:hAnsi="宋体" w:eastAsia="宋体" w:cs="Times New Roman"/>
                <w:kern w:val="0"/>
                <w:sz w:val="18"/>
                <w:szCs w:val="18"/>
                <w14:ligatures w14:val="none"/>
              </w:rPr>
              <w:t>A型</w:t>
            </w:r>
          </w:p>
        </w:tc>
        <w:tc>
          <w:tcPr>
            <w:tcW w:w="1602" w:type="dxa"/>
            <w:tcBorders>
              <w:top w:val="nil"/>
              <w:left w:val="nil"/>
              <w:bottom w:val="nil"/>
              <w:right w:val="nil"/>
            </w:tcBorders>
            <w:shd w:val="clear" w:color="auto" w:fill="FFFFFF"/>
            <w:vAlign w:val="center"/>
          </w:tcPr>
          <w:p w14:paraId="4169C1B6">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11392CED">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6</w:t>
            </w:r>
            <w:r>
              <w:rPr>
                <w:rFonts w:ascii="宋体" w:hAnsi="宋体" w:eastAsia="宋体" w:cs="Times New Roman"/>
                <w:kern w:val="0"/>
                <w:sz w:val="18"/>
                <w:szCs w:val="18"/>
                <w14:ligatures w14:val="none"/>
              </w:rPr>
              <w:t>2</w:t>
            </w:r>
            <w:r>
              <w:rPr>
                <w:rFonts w:hint="eastAsia" w:ascii="宋体" w:hAnsi="宋体" w:eastAsia="宋体" w:cs="Times New Roman"/>
                <w:kern w:val="0"/>
                <w:sz w:val="18"/>
                <w:szCs w:val="18"/>
                <w14:ligatures w14:val="none"/>
              </w:rPr>
              <w:t>±2</w:t>
            </w:r>
          </w:p>
        </w:tc>
        <w:tc>
          <w:tcPr>
            <w:tcW w:w="3044" w:type="dxa"/>
            <w:tcBorders>
              <w:top w:val="nil"/>
              <w:left w:val="nil"/>
              <w:bottom w:val="nil"/>
              <w:right w:val="nil"/>
            </w:tcBorders>
            <w:shd w:val="clear" w:color="auto" w:fill="FFFFFF"/>
            <w:vAlign w:val="center"/>
          </w:tcPr>
          <w:p w14:paraId="597D305A">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GB/T 531</w:t>
            </w:r>
          </w:p>
        </w:tc>
      </w:tr>
      <w:tr w14:paraId="1717E9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5CAFBF08">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*门尼粘度，ML</w:t>
            </w:r>
            <w:r>
              <w:rPr>
                <w:rFonts w:ascii="宋体" w:hAnsi="宋体" w:eastAsia="宋体" w:cs="Times New Roman"/>
                <w:kern w:val="0"/>
                <w:sz w:val="18"/>
                <w:szCs w:val="18"/>
                <w:vertAlign w:val="superscript"/>
                <w14:ligatures w14:val="none"/>
              </w:rPr>
              <w:t>100℃</w:t>
            </w:r>
            <w:r>
              <w:rPr>
                <w:rFonts w:ascii="宋体" w:hAnsi="宋体" w:eastAsia="宋体" w:cs="Times New Roman"/>
                <w:kern w:val="0"/>
                <w:sz w:val="18"/>
                <w:szCs w:val="18"/>
                <w:vertAlign w:val="subscript"/>
                <w14:ligatures w14:val="none"/>
              </w:rPr>
              <w:t>1+4</w:t>
            </w:r>
          </w:p>
        </w:tc>
        <w:tc>
          <w:tcPr>
            <w:tcW w:w="1602" w:type="dxa"/>
            <w:tcBorders>
              <w:top w:val="nil"/>
              <w:left w:val="nil"/>
              <w:bottom w:val="nil"/>
              <w:right w:val="nil"/>
            </w:tcBorders>
            <w:shd w:val="clear" w:color="auto" w:fill="FFFFFF"/>
            <w:vAlign w:val="center"/>
          </w:tcPr>
          <w:p w14:paraId="5D408A1E">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60±5</w:t>
            </w:r>
          </w:p>
        </w:tc>
        <w:tc>
          <w:tcPr>
            <w:tcW w:w="1602" w:type="dxa"/>
            <w:tcBorders>
              <w:top w:val="nil"/>
              <w:left w:val="nil"/>
              <w:bottom w:val="nil"/>
              <w:right w:val="nil"/>
            </w:tcBorders>
            <w:shd w:val="clear" w:color="auto" w:fill="FFFFFF"/>
            <w:vAlign w:val="center"/>
          </w:tcPr>
          <w:p w14:paraId="0FFF968A">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68-94</w:t>
            </w:r>
          </w:p>
        </w:tc>
        <w:tc>
          <w:tcPr>
            <w:tcW w:w="3044" w:type="dxa"/>
            <w:tcBorders>
              <w:top w:val="nil"/>
              <w:left w:val="nil"/>
              <w:bottom w:val="nil"/>
              <w:right w:val="nil"/>
            </w:tcBorders>
            <w:shd w:val="clear" w:color="auto" w:fill="FFFFFF"/>
            <w:vAlign w:val="center"/>
          </w:tcPr>
          <w:p w14:paraId="5B3EE65A">
            <w:pPr>
              <w:adjustRightInd w:val="0"/>
              <w:spacing w:after="0" w:line="240" w:lineRule="auto"/>
              <w:jc w:val="center"/>
              <w:rPr>
                <w:rFonts w:hint="eastAsia" w:ascii="宋体" w:hAnsi="宋体" w:eastAsia="宋体" w:cs="宋体"/>
                <w:kern w:val="0"/>
                <w:sz w:val="18"/>
                <w:szCs w:val="18"/>
                <w14:ligatures w14:val="none"/>
              </w:rPr>
            </w:pPr>
            <w:r>
              <w:rPr>
                <w:rFonts w:ascii="宋体" w:hAnsi="宋体" w:eastAsia="宋体" w:cs="宋体"/>
                <w:kern w:val="0"/>
                <w:sz w:val="18"/>
                <w:szCs w:val="18"/>
                <w14:ligatures w14:val="none"/>
              </w:rPr>
              <w:t>GB/T 1232.1</w:t>
            </w:r>
          </w:p>
        </w:tc>
      </w:tr>
      <w:tr w14:paraId="6BFD2C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0B6D8485">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*拉伸</w:t>
            </w:r>
            <w:r>
              <w:rPr>
                <w:rFonts w:ascii="宋体" w:hAnsi="宋体" w:eastAsia="宋体" w:cs="Times New Roman"/>
                <w:kern w:val="0"/>
                <w:sz w:val="18"/>
                <w:szCs w:val="18"/>
                <w14:ligatures w14:val="none"/>
              </w:rPr>
              <w:t>强度</w:t>
            </w:r>
            <w:r>
              <w:rPr>
                <w:rFonts w:hint="eastAsia" w:ascii="宋体" w:hAnsi="宋体" w:eastAsia="宋体" w:cs="Times New Roman"/>
                <w:kern w:val="0"/>
                <w:sz w:val="18"/>
                <w:szCs w:val="18"/>
                <w14:ligatures w14:val="none"/>
              </w:rPr>
              <w:t>，MPa</w:t>
            </w:r>
          </w:p>
        </w:tc>
        <w:tc>
          <w:tcPr>
            <w:tcW w:w="1602" w:type="dxa"/>
            <w:tcBorders>
              <w:top w:val="nil"/>
              <w:left w:val="nil"/>
              <w:bottom w:val="nil"/>
              <w:right w:val="nil"/>
            </w:tcBorders>
            <w:shd w:val="clear" w:color="auto" w:fill="FFFFFF"/>
            <w:vAlign w:val="center"/>
          </w:tcPr>
          <w:p w14:paraId="0381ABE6">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≥19.6</w:t>
            </w:r>
          </w:p>
        </w:tc>
        <w:tc>
          <w:tcPr>
            <w:tcW w:w="1602" w:type="dxa"/>
            <w:tcBorders>
              <w:top w:val="nil"/>
              <w:left w:val="nil"/>
              <w:bottom w:val="nil"/>
              <w:right w:val="nil"/>
            </w:tcBorders>
            <w:shd w:val="clear" w:color="auto" w:fill="FFFFFF"/>
            <w:vAlign w:val="center"/>
          </w:tcPr>
          <w:p w14:paraId="20AC5845">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≥15.0</w:t>
            </w:r>
          </w:p>
        </w:tc>
        <w:tc>
          <w:tcPr>
            <w:tcW w:w="3044" w:type="dxa"/>
            <w:tcBorders>
              <w:top w:val="nil"/>
              <w:left w:val="nil"/>
              <w:bottom w:val="nil"/>
              <w:right w:val="nil"/>
            </w:tcBorders>
            <w:shd w:val="clear" w:color="auto" w:fill="FFFFFF"/>
            <w:vAlign w:val="center"/>
          </w:tcPr>
          <w:p w14:paraId="0EC30E02">
            <w:pPr>
              <w:adjustRightInd w:val="0"/>
              <w:spacing w:after="0" w:line="240" w:lineRule="auto"/>
              <w:jc w:val="center"/>
              <w:rPr>
                <w:rFonts w:hint="eastAsia" w:ascii="宋体" w:hAnsi="宋体" w:eastAsia="宋体" w:cs="宋体"/>
                <w:kern w:val="0"/>
                <w:sz w:val="18"/>
                <w:szCs w:val="18"/>
                <w14:ligatures w14:val="none"/>
              </w:rPr>
            </w:pPr>
            <w:r>
              <w:rPr>
                <w:rFonts w:ascii="宋体" w:hAnsi="宋体" w:eastAsia="宋体" w:cs="宋体"/>
                <w:kern w:val="0"/>
                <w:sz w:val="18"/>
                <w:szCs w:val="18"/>
                <w14:ligatures w14:val="none"/>
              </w:rPr>
              <w:t>GB/T 528</w:t>
            </w:r>
          </w:p>
        </w:tc>
      </w:tr>
      <w:tr w14:paraId="3B25AF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6A9C7448">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*拉断伸长率</w:t>
            </w:r>
            <w:r>
              <w:rPr>
                <w:rFonts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0F25CF7E">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3895C660">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≥600</w:t>
            </w:r>
          </w:p>
        </w:tc>
        <w:tc>
          <w:tcPr>
            <w:tcW w:w="3044" w:type="dxa"/>
            <w:tcBorders>
              <w:top w:val="nil"/>
              <w:left w:val="nil"/>
              <w:bottom w:val="nil"/>
              <w:right w:val="nil"/>
            </w:tcBorders>
            <w:shd w:val="clear" w:color="auto" w:fill="FFFFFF"/>
            <w:vAlign w:val="center"/>
          </w:tcPr>
          <w:p w14:paraId="64E83427">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GB/T 528</w:t>
            </w:r>
          </w:p>
        </w:tc>
      </w:tr>
      <w:tr w14:paraId="1C85A0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04C9BBB7">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*塑性</w:t>
            </w:r>
            <w:r>
              <w:rPr>
                <w:rFonts w:ascii="宋体" w:hAnsi="宋体" w:eastAsia="宋体" w:cs="Times New Roman"/>
                <w:kern w:val="0"/>
                <w:sz w:val="18"/>
                <w:szCs w:val="18"/>
                <w14:ligatures w14:val="none"/>
              </w:rPr>
              <w:t>初值</w:t>
            </w:r>
            <w:r>
              <w:rPr>
                <w:rFonts w:hint="eastAsia" w:ascii="宋体" w:hAnsi="宋体" w:eastAsia="宋体" w:cs="Times New Roman"/>
                <w:kern w:val="0"/>
                <w:sz w:val="18"/>
                <w:szCs w:val="18"/>
                <w14:ligatures w14:val="none"/>
              </w:rPr>
              <w:t>（P</w:t>
            </w:r>
            <w:r>
              <w:rPr>
                <w:rFonts w:hint="eastAsia" w:ascii="宋体" w:hAnsi="宋体" w:eastAsia="宋体" w:cs="Times New Roman"/>
                <w:kern w:val="0"/>
                <w:sz w:val="18"/>
                <w:szCs w:val="18"/>
                <w:vertAlign w:val="subscript"/>
                <w14:ligatures w14:val="none"/>
              </w:rPr>
              <w:t>0</w:t>
            </w: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4A3309DC">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30</w:t>
            </w:r>
          </w:p>
        </w:tc>
        <w:tc>
          <w:tcPr>
            <w:tcW w:w="1602" w:type="dxa"/>
            <w:tcBorders>
              <w:top w:val="nil"/>
              <w:left w:val="nil"/>
              <w:bottom w:val="nil"/>
              <w:right w:val="nil"/>
            </w:tcBorders>
            <w:shd w:val="clear" w:color="auto" w:fill="FFFFFF"/>
            <w:vAlign w:val="center"/>
          </w:tcPr>
          <w:p w14:paraId="230E2779">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30</w:t>
            </w:r>
          </w:p>
        </w:tc>
        <w:tc>
          <w:tcPr>
            <w:tcW w:w="3044" w:type="dxa"/>
            <w:tcBorders>
              <w:top w:val="nil"/>
              <w:left w:val="nil"/>
              <w:bottom w:val="nil"/>
              <w:right w:val="nil"/>
            </w:tcBorders>
            <w:shd w:val="clear" w:color="auto" w:fill="FFFFFF"/>
            <w:vAlign w:val="center"/>
          </w:tcPr>
          <w:p w14:paraId="710D0BAB">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GB/T</w:t>
            </w:r>
            <w:r>
              <w:rPr>
                <w:rFonts w:ascii="宋体" w:hAnsi="宋体" w:eastAsia="宋体" w:cs="Times New Roman"/>
                <w:kern w:val="0"/>
                <w:sz w:val="18"/>
                <w:szCs w:val="18"/>
                <w14:ligatures w14:val="none"/>
              </w:rPr>
              <w:t xml:space="preserve"> 3510</w:t>
            </w:r>
          </w:p>
        </w:tc>
      </w:tr>
      <w:tr w14:paraId="1245DA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4D6EE2A0">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*塑性</w:t>
            </w:r>
            <w:r>
              <w:rPr>
                <w:rFonts w:ascii="宋体" w:hAnsi="宋体" w:eastAsia="宋体" w:cs="Times New Roman"/>
                <w:kern w:val="0"/>
                <w:sz w:val="18"/>
                <w:szCs w:val="18"/>
                <w14:ligatures w14:val="none"/>
              </w:rPr>
              <w:t>保持率</w:t>
            </w:r>
            <w:r>
              <w:rPr>
                <w:rFonts w:hint="eastAsia" w:ascii="宋体" w:hAnsi="宋体" w:eastAsia="宋体" w:cs="Times New Roman"/>
                <w:kern w:val="0"/>
                <w:sz w:val="18"/>
                <w:szCs w:val="18"/>
                <w14:ligatures w14:val="none"/>
              </w:rPr>
              <w:t>（PRI）</w:t>
            </w:r>
          </w:p>
        </w:tc>
        <w:tc>
          <w:tcPr>
            <w:tcW w:w="1602" w:type="dxa"/>
            <w:tcBorders>
              <w:top w:val="nil"/>
              <w:left w:val="nil"/>
              <w:bottom w:val="nil"/>
              <w:right w:val="nil"/>
            </w:tcBorders>
            <w:shd w:val="clear" w:color="auto" w:fill="FFFFFF"/>
            <w:vAlign w:val="center"/>
          </w:tcPr>
          <w:p w14:paraId="31F8F42F">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60</w:t>
            </w:r>
          </w:p>
        </w:tc>
        <w:tc>
          <w:tcPr>
            <w:tcW w:w="1602" w:type="dxa"/>
            <w:tcBorders>
              <w:top w:val="nil"/>
              <w:left w:val="nil"/>
              <w:bottom w:val="nil"/>
              <w:right w:val="nil"/>
            </w:tcBorders>
            <w:shd w:val="clear" w:color="auto" w:fill="FFFFFF"/>
            <w:vAlign w:val="center"/>
          </w:tcPr>
          <w:p w14:paraId="36BC83AB">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40</w:t>
            </w:r>
          </w:p>
        </w:tc>
        <w:tc>
          <w:tcPr>
            <w:tcW w:w="3044" w:type="dxa"/>
            <w:tcBorders>
              <w:top w:val="nil"/>
              <w:left w:val="nil"/>
              <w:bottom w:val="nil"/>
              <w:right w:val="nil"/>
            </w:tcBorders>
            <w:shd w:val="clear" w:color="auto" w:fill="FFFFFF"/>
            <w:vAlign w:val="center"/>
          </w:tcPr>
          <w:p w14:paraId="791413BB">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GB/T</w:t>
            </w:r>
            <w:r>
              <w:rPr>
                <w:rFonts w:ascii="宋体" w:hAnsi="宋体" w:eastAsia="宋体" w:cs="Times New Roman"/>
                <w:kern w:val="0"/>
                <w:sz w:val="18"/>
                <w:szCs w:val="18"/>
                <w14:ligatures w14:val="none"/>
              </w:rPr>
              <w:t xml:space="preserve"> 3517</w:t>
            </w:r>
          </w:p>
        </w:tc>
      </w:tr>
      <w:tr w14:paraId="64F1DD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3CA85E19">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撕裂强度，</w:t>
            </w:r>
            <w:r>
              <w:rPr>
                <w:rFonts w:ascii="宋体" w:hAnsi="宋体" w:eastAsia="宋体" w:cs="Times New Roman"/>
                <w:kern w:val="0"/>
                <w:sz w:val="18"/>
                <w:szCs w:val="18"/>
                <w14:ligatures w14:val="none"/>
              </w:rPr>
              <w:t>kN</w:t>
            </w:r>
            <w:r>
              <w:rPr>
                <w:rFonts w:hint="eastAsia" w:ascii="宋体" w:hAnsi="宋体" w:eastAsia="宋体" w:cs="Times New Roman"/>
                <w:kern w:val="0"/>
                <w:sz w:val="18"/>
                <w:szCs w:val="18"/>
                <w14:ligatures w14:val="none"/>
              </w:rPr>
              <w:t>/</w:t>
            </w:r>
            <w:r>
              <w:rPr>
                <w:rFonts w:ascii="宋体" w:hAnsi="宋体" w:eastAsia="宋体" w:cs="Times New Roman"/>
                <w:kern w:val="0"/>
                <w:sz w:val="18"/>
                <w:szCs w:val="18"/>
                <w14:ligatures w14:val="none"/>
              </w:rPr>
              <w:t>m</w:t>
            </w:r>
          </w:p>
        </w:tc>
        <w:tc>
          <w:tcPr>
            <w:tcW w:w="1602" w:type="dxa"/>
            <w:tcBorders>
              <w:top w:val="nil"/>
              <w:left w:val="nil"/>
              <w:bottom w:val="nil"/>
              <w:right w:val="nil"/>
            </w:tcBorders>
            <w:shd w:val="clear" w:color="auto" w:fill="FFFFFF"/>
            <w:vAlign w:val="center"/>
          </w:tcPr>
          <w:p w14:paraId="222EBBB4">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75E39AF7">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≥40</w:t>
            </w:r>
          </w:p>
        </w:tc>
        <w:tc>
          <w:tcPr>
            <w:tcW w:w="3044" w:type="dxa"/>
            <w:tcBorders>
              <w:top w:val="nil"/>
              <w:left w:val="nil"/>
              <w:bottom w:val="nil"/>
              <w:right w:val="nil"/>
            </w:tcBorders>
            <w:shd w:val="clear" w:color="auto" w:fill="FFFFFF"/>
            <w:vAlign w:val="center"/>
          </w:tcPr>
          <w:p w14:paraId="37BCE6DF">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GB/T 529</w:t>
            </w:r>
          </w:p>
        </w:tc>
      </w:tr>
      <w:tr w14:paraId="4BC5E3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2DD0B43F">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压缩</w:t>
            </w:r>
            <w:r>
              <w:rPr>
                <w:rFonts w:ascii="宋体" w:hAnsi="宋体" w:eastAsia="宋体" w:cs="Times New Roman"/>
                <w:kern w:val="0"/>
                <w:sz w:val="18"/>
                <w:szCs w:val="18"/>
                <w14:ligatures w14:val="none"/>
              </w:rPr>
              <w:t>生热，℃</w:t>
            </w:r>
          </w:p>
        </w:tc>
        <w:tc>
          <w:tcPr>
            <w:tcW w:w="1602" w:type="dxa"/>
            <w:tcBorders>
              <w:top w:val="nil"/>
              <w:left w:val="nil"/>
              <w:bottom w:val="nil"/>
              <w:right w:val="nil"/>
            </w:tcBorders>
            <w:shd w:val="clear" w:color="auto" w:fill="FFFFFF"/>
            <w:vAlign w:val="center"/>
          </w:tcPr>
          <w:p w14:paraId="3A9F9C4B">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183BC70F">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34</w:t>
            </w:r>
          </w:p>
        </w:tc>
        <w:tc>
          <w:tcPr>
            <w:tcW w:w="3044" w:type="dxa"/>
            <w:tcBorders>
              <w:top w:val="nil"/>
              <w:left w:val="nil"/>
              <w:bottom w:val="nil"/>
              <w:right w:val="nil"/>
            </w:tcBorders>
            <w:shd w:val="clear" w:color="auto" w:fill="FFFFFF"/>
            <w:vAlign w:val="center"/>
          </w:tcPr>
          <w:p w14:paraId="48504DCF">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 xml:space="preserve">GB/T </w:t>
            </w:r>
            <w:r>
              <w:rPr>
                <w:rFonts w:ascii="宋体" w:hAnsi="宋体" w:eastAsia="宋体" w:cs="Times New Roman"/>
                <w:kern w:val="0"/>
                <w:sz w:val="18"/>
                <w:szCs w:val="18"/>
                <w14:ligatures w14:val="none"/>
              </w:rPr>
              <w:t>1687</w:t>
            </w:r>
          </w:p>
        </w:tc>
      </w:tr>
      <w:tr w14:paraId="7F4A03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3052AAFD">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回弹值</w:t>
            </w:r>
            <w:r>
              <w:rPr>
                <w:rFonts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6E76782F">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51ED9FD4">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w:t>
            </w:r>
            <w:r>
              <w:rPr>
                <w:rFonts w:hint="eastAsia" w:ascii="宋体" w:hAnsi="宋体" w:eastAsia="宋体" w:cs="Times New Roman"/>
                <w:kern w:val="0"/>
                <w:sz w:val="18"/>
                <w:szCs w:val="18"/>
                <w14:ligatures w14:val="none"/>
              </w:rPr>
              <w:t>53</w:t>
            </w:r>
          </w:p>
        </w:tc>
        <w:tc>
          <w:tcPr>
            <w:tcW w:w="3044" w:type="dxa"/>
            <w:tcBorders>
              <w:top w:val="nil"/>
              <w:left w:val="nil"/>
              <w:bottom w:val="nil"/>
              <w:right w:val="nil"/>
            </w:tcBorders>
            <w:shd w:val="clear" w:color="auto" w:fill="FFFFFF"/>
            <w:vAlign w:val="center"/>
          </w:tcPr>
          <w:p w14:paraId="2419727E">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GB/T 1681</w:t>
            </w:r>
          </w:p>
        </w:tc>
      </w:tr>
      <w:tr w14:paraId="53A918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1D3802DC">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压缩永久变形/%</w:t>
            </w:r>
          </w:p>
        </w:tc>
        <w:tc>
          <w:tcPr>
            <w:tcW w:w="1602" w:type="dxa"/>
            <w:tcBorders>
              <w:top w:val="nil"/>
              <w:left w:val="nil"/>
              <w:bottom w:val="nil"/>
              <w:right w:val="nil"/>
            </w:tcBorders>
            <w:shd w:val="clear" w:color="auto" w:fill="FFFFFF"/>
            <w:vAlign w:val="center"/>
          </w:tcPr>
          <w:p w14:paraId="08D265ED">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0A9CEAD3">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≤30</w:t>
            </w:r>
          </w:p>
        </w:tc>
        <w:tc>
          <w:tcPr>
            <w:tcW w:w="3044" w:type="dxa"/>
            <w:tcBorders>
              <w:top w:val="nil"/>
              <w:left w:val="nil"/>
              <w:bottom w:val="nil"/>
              <w:right w:val="nil"/>
            </w:tcBorders>
            <w:shd w:val="clear" w:color="auto" w:fill="FFFFFF"/>
            <w:vAlign w:val="center"/>
          </w:tcPr>
          <w:p w14:paraId="40E95D32">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GB/T 7759.1</w:t>
            </w:r>
          </w:p>
        </w:tc>
      </w:tr>
      <w:tr w14:paraId="387FCE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0DDC7042">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阿克隆磨耗/cm</w:t>
            </w:r>
            <w:r>
              <w:rPr>
                <w:rFonts w:hint="eastAsia" w:ascii="宋体" w:hAnsi="宋体" w:eastAsia="宋体" w:cs="Times New Roman"/>
                <w:kern w:val="0"/>
                <w:sz w:val="18"/>
                <w:szCs w:val="18"/>
                <w:vertAlign w:val="superscript"/>
                <w14:ligatures w14:val="none"/>
              </w:rPr>
              <w:t>3</w:t>
            </w:r>
          </w:p>
        </w:tc>
        <w:tc>
          <w:tcPr>
            <w:tcW w:w="1602" w:type="dxa"/>
            <w:tcBorders>
              <w:top w:val="nil"/>
              <w:left w:val="nil"/>
              <w:bottom w:val="nil"/>
              <w:right w:val="nil"/>
            </w:tcBorders>
            <w:shd w:val="clear" w:color="auto" w:fill="FFFFFF"/>
            <w:vAlign w:val="center"/>
          </w:tcPr>
          <w:p w14:paraId="5CCB5E4E">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00EDB75F">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≤0.25</w:t>
            </w:r>
          </w:p>
        </w:tc>
        <w:tc>
          <w:tcPr>
            <w:tcW w:w="3044" w:type="dxa"/>
            <w:tcBorders>
              <w:top w:val="nil"/>
              <w:left w:val="nil"/>
              <w:bottom w:val="nil"/>
              <w:right w:val="nil"/>
            </w:tcBorders>
            <w:shd w:val="clear" w:color="auto" w:fill="FFFFFF"/>
            <w:vAlign w:val="center"/>
          </w:tcPr>
          <w:p w14:paraId="3AA0739B">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GB/T 1689</w:t>
            </w:r>
          </w:p>
        </w:tc>
      </w:tr>
      <w:tr w14:paraId="090F48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56" w:type="dxa"/>
            <w:gridSpan w:val="2"/>
            <w:tcBorders>
              <w:top w:val="nil"/>
              <w:left w:val="nil"/>
              <w:bottom w:val="nil"/>
              <w:right w:val="nil"/>
            </w:tcBorders>
            <w:shd w:val="clear" w:color="auto" w:fill="FFFFFF"/>
            <w:vAlign w:val="center"/>
          </w:tcPr>
          <w:p w14:paraId="44EAE228">
            <w:pPr>
              <w:spacing w:after="0" w:line="240" w:lineRule="auto"/>
              <w:jc w:val="center"/>
              <w:rPr>
                <w:rFonts w:hint="eastAsia" w:ascii="宋体" w:hAnsi="宋体" w:eastAsia="宋体" w:cs="Times New Roman"/>
                <w:kern w:val="0"/>
                <w:sz w:val="18"/>
                <w:szCs w:val="18"/>
                <w14:ligatures w14:val="none"/>
              </w:rPr>
            </w:pPr>
            <w:r>
              <w:rPr>
                <w:rFonts w:ascii="Times New Roman" w:hAnsi="Times New Roman" w:eastAsia="宋体" w:cs="Times New Roman"/>
                <w:kern w:val="0"/>
                <w:sz w:val="18"/>
                <w:szCs w:val="18"/>
                <w14:ligatures w14:val="none"/>
              </w:rPr>
              <w:t>DIN磨</w:t>
            </w:r>
            <w:r>
              <w:rPr>
                <w:rFonts w:hint="eastAsia" w:ascii="宋体" w:hAnsi="宋体" w:eastAsia="宋体" w:cs="Times New Roman"/>
                <w:kern w:val="0"/>
                <w:sz w:val="18"/>
                <w:szCs w:val="18"/>
                <w14:ligatures w14:val="none"/>
              </w:rPr>
              <w:t>耗/cm</w:t>
            </w:r>
            <w:r>
              <w:rPr>
                <w:rFonts w:hint="eastAsia" w:ascii="宋体" w:hAnsi="宋体" w:eastAsia="宋体" w:cs="Times New Roman"/>
                <w:kern w:val="0"/>
                <w:sz w:val="18"/>
                <w:szCs w:val="18"/>
                <w:vertAlign w:val="superscript"/>
                <w14:ligatures w14:val="none"/>
              </w:rPr>
              <w:t>3</w:t>
            </w:r>
          </w:p>
        </w:tc>
        <w:tc>
          <w:tcPr>
            <w:tcW w:w="1602" w:type="dxa"/>
            <w:tcBorders>
              <w:top w:val="nil"/>
              <w:left w:val="nil"/>
              <w:bottom w:val="nil"/>
              <w:right w:val="nil"/>
            </w:tcBorders>
            <w:shd w:val="clear" w:color="auto" w:fill="FFFFFF"/>
            <w:vAlign w:val="center"/>
          </w:tcPr>
          <w:p w14:paraId="01F2FED0">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w:t>
            </w:r>
          </w:p>
        </w:tc>
        <w:tc>
          <w:tcPr>
            <w:tcW w:w="1602" w:type="dxa"/>
            <w:tcBorders>
              <w:top w:val="nil"/>
              <w:left w:val="nil"/>
              <w:bottom w:val="nil"/>
              <w:right w:val="nil"/>
            </w:tcBorders>
            <w:shd w:val="clear" w:color="auto" w:fill="FFFFFF"/>
            <w:vAlign w:val="center"/>
          </w:tcPr>
          <w:p w14:paraId="622622B7">
            <w:pPr>
              <w:spacing w:after="0" w:line="240" w:lineRule="auto"/>
              <w:jc w:val="center"/>
              <w:rPr>
                <w:rFonts w:hint="eastAsia" w:ascii="宋体" w:hAnsi="宋体" w:eastAsia="宋体" w:cs="Times New Roman"/>
                <w:kern w:val="0"/>
                <w:sz w:val="18"/>
                <w:szCs w:val="18"/>
                <w14:ligatures w14:val="none"/>
              </w:rPr>
            </w:pPr>
            <w:r>
              <w:rPr>
                <w:rFonts w:hint="eastAsia" w:ascii="宋体" w:hAnsi="宋体" w:eastAsia="宋体" w:cs="Times New Roman"/>
                <w:kern w:val="0"/>
                <w:sz w:val="18"/>
                <w:szCs w:val="18"/>
                <w14:ligatures w14:val="none"/>
              </w:rPr>
              <w:t>≤0.065</w:t>
            </w:r>
          </w:p>
        </w:tc>
        <w:tc>
          <w:tcPr>
            <w:tcW w:w="3044" w:type="dxa"/>
            <w:tcBorders>
              <w:top w:val="nil"/>
              <w:left w:val="nil"/>
              <w:bottom w:val="nil"/>
              <w:right w:val="nil"/>
            </w:tcBorders>
            <w:shd w:val="clear" w:color="auto" w:fill="FFFFFF"/>
            <w:vAlign w:val="center"/>
          </w:tcPr>
          <w:p w14:paraId="6C0EA650">
            <w:pPr>
              <w:spacing w:after="0" w:line="240" w:lineRule="auto"/>
              <w:jc w:val="center"/>
              <w:rPr>
                <w:rFonts w:hint="eastAsia" w:ascii="宋体" w:hAnsi="宋体" w:eastAsia="宋体" w:cs="Times New Roman"/>
                <w:kern w:val="0"/>
                <w:sz w:val="18"/>
                <w:szCs w:val="18"/>
                <w14:ligatures w14:val="none"/>
              </w:rPr>
            </w:pPr>
            <w:r>
              <w:rPr>
                <w:rFonts w:ascii="宋体" w:hAnsi="宋体" w:eastAsia="宋体" w:cs="Times New Roman"/>
                <w:kern w:val="0"/>
                <w:sz w:val="18"/>
                <w:szCs w:val="18"/>
                <w14:ligatures w14:val="none"/>
              </w:rPr>
              <w:t>GB/T 9867</w:t>
            </w:r>
          </w:p>
        </w:tc>
      </w:tr>
      <w:tr w14:paraId="4186C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602" w:type="dxa"/>
            <w:tcBorders>
              <w:top w:val="nil"/>
              <w:left w:val="nil"/>
              <w:bottom w:val="single" w:color="000000" w:sz="12" w:space="0"/>
              <w:right w:val="nil"/>
            </w:tcBorders>
            <w:shd w:val="clear" w:color="auto" w:fill="FFFFFF"/>
            <w:vAlign w:val="center"/>
          </w:tcPr>
          <w:p w14:paraId="5575E48D">
            <w:pPr>
              <w:spacing w:after="0" w:line="240" w:lineRule="auto"/>
              <w:ind w:left="811" w:hanging="448"/>
              <w:jc w:val="center"/>
              <w:rPr>
                <w:rFonts w:ascii="宋体" w:hAnsi="Times New Roman" w:eastAsia="宋体" w:cs="Times New Roman"/>
                <w:kern w:val="0"/>
                <w:sz w:val="18"/>
                <w:szCs w:val="18"/>
                <w14:ligatures w14:val="none"/>
              </w:rPr>
            </w:pPr>
            <w:r>
              <w:rPr>
                <w:rFonts w:hint="eastAsia" w:ascii="宋体" w:hAnsi="Times New Roman" w:eastAsia="宋体" w:cs="Times New Roman"/>
                <w:kern w:val="0"/>
                <w:sz w:val="18"/>
                <w:szCs w:val="18"/>
                <w14:ligatures w14:val="none"/>
              </w:rPr>
              <w:t>注</w:t>
            </w:r>
          </w:p>
        </w:tc>
        <w:tc>
          <w:tcPr>
            <w:tcW w:w="6902" w:type="dxa"/>
            <w:gridSpan w:val="4"/>
            <w:tcBorders>
              <w:top w:val="nil"/>
              <w:left w:val="nil"/>
              <w:bottom w:val="single" w:color="000000" w:sz="12" w:space="0"/>
              <w:right w:val="nil"/>
            </w:tcBorders>
            <w:shd w:val="clear" w:color="auto" w:fill="FFFFFF"/>
            <w:vAlign w:val="center"/>
          </w:tcPr>
          <w:p w14:paraId="26CDC9F8">
            <w:pPr>
              <w:spacing w:after="0" w:line="240" w:lineRule="auto"/>
              <w:ind w:left="811" w:hanging="448"/>
              <w:jc w:val="both"/>
              <w:rPr>
                <w:rFonts w:ascii="宋体" w:hAnsi="Times New Roman" w:eastAsia="宋体" w:cs="Times New Roman"/>
                <w:kern w:val="0"/>
                <w:sz w:val="18"/>
                <w:szCs w:val="18"/>
                <w14:ligatures w14:val="none"/>
              </w:rPr>
            </w:pPr>
            <w:r>
              <w:rPr>
                <w:rFonts w:hint="eastAsia" w:ascii="宋体" w:hAnsi="Times New Roman" w:eastAsia="宋体" w:cs="Times New Roman"/>
                <w:kern w:val="0"/>
                <w:sz w:val="18"/>
                <w:szCs w:val="18"/>
                <w14:ligatures w14:val="none"/>
              </w:rPr>
              <w:t>鉴定</w:t>
            </w:r>
            <w:r>
              <w:rPr>
                <w:rFonts w:ascii="宋体" w:hAnsi="Times New Roman" w:eastAsia="宋体" w:cs="Times New Roman"/>
                <w:kern w:val="0"/>
                <w:sz w:val="18"/>
                <w:szCs w:val="18"/>
                <w14:ligatures w14:val="none"/>
              </w:rPr>
              <w:t>配方：</w:t>
            </w:r>
            <w:r>
              <w:rPr>
                <w:rFonts w:hint="eastAsia" w:ascii="宋体" w:hAnsi="Times New Roman" w:eastAsia="宋体" w:cs="Times New Roman"/>
                <w:kern w:val="0"/>
                <w:sz w:val="18"/>
                <w:szCs w:val="18"/>
                <w14:ligatures w14:val="none"/>
              </w:rPr>
              <w:t>天然橡胶100.00、氧化锌5.00、硬脂酸2.00、防老剂4020NA 1.00、炭黑N330 35.00、硫黄2.25、促进剂NS 0.70。</w:t>
            </w:r>
          </w:p>
          <w:p w14:paraId="3FC9F347">
            <w:pPr>
              <w:spacing w:after="0" w:line="240" w:lineRule="auto"/>
              <w:ind w:left="811" w:hanging="448"/>
              <w:jc w:val="both"/>
              <w:rPr>
                <w:rFonts w:ascii="宋体" w:hAnsi="Times New Roman" w:eastAsia="宋体" w:cs="Times New Roman"/>
                <w:kern w:val="0"/>
                <w:sz w:val="18"/>
                <w:szCs w:val="18"/>
                <w14:ligatures w14:val="none"/>
              </w:rPr>
            </w:pPr>
            <w:r>
              <w:rPr>
                <w:rFonts w:hint="eastAsia" w:ascii="宋体" w:hAnsi="Times New Roman" w:eastAsia="宋体" w:cs="Times New Roman"/>
                <w:kern w:val="0"/>
                <w:sz w:val="18"/>
                <w:szCs w:val="18"/>
                <w14:ligatures w14:val="none"/>
              </w:rPr>
              <w:t>硫化条件：</w:t>
            </w:r>
            <w:r>
              <w:rPr>
                <w:rFonts w:ascii="宋体" w:hAnsi="Times New Roman" w:eastAsia="宋体" w:cs="Times New Roman"/>
                <w:kern w:val="0"/>
                <w:sz w:val="18"/>
                <w:szCs w:val="18"/>
                <w14:ligatures w14:val="none"/>
              </w:rPr>
              <w:t>140</w:t>
            </w:r>
            <w:r>
              <w:rPr>
                <w:rFonts w:hint="eastAsia" w:ascii="宋体" w:hAnsi="Times New Roman" w:eastAsia="宋体" w:cs="Times New Roman"/>
                <w:kern w:val="0"/>
                <w:sz w:val="18"/>
                <w:szCs w:val="18"/>
                <w14:ligatures w14:val="none"/>
              </w:rPr>
              <w:t>℃×</w:t>
            </w:r>
            <w:r>
              <w:rPr>
                <w:rFonts w:ascii="宋体" w:hAnsi="Times New Roman" w:eastAsia="宋体" w:cs="Times New Roman"/>
                <w:kern w:val="0"/>
                <w:sz w:val="18"/>
                <w:szCs w:val="18"/>
                <w14:ligatures w14:val="none"/>
              </w:rPr>
              <w:t>30</w:t>
            </w:r>
            <w:r>
              <w:rPr>
                <w:rFonts w:hint="eastAsia" w:ascii="宋体" w:hAnsi="Times New Roman" w:eastAsia="宋体" w:cs="Times New Roman"/>
                <w:kern w:val="0"/>
                <w:sz w:val="18"/>
                <w:szCs w:val="18"/>
                <w14:ligatures w14:val="none"/>
              </w:rPr>
              <w:t>、3</w:t>
            </w:r>
            <w:r>
              <w:rPr>
                <w:rFonts w:ascii="宋体" w:hAnsi="Times New Roman" w:eastAsia="宋体" w:cs="Times New Roman"/>
                <w:kern w:val="0"/>
                <w:sz w:val="18"/>
                <w:szCs w:val="18"/>
                <w14:ligatures w14:val="none"/>
              </w:rPr>
              <w:t>0</w:t>
            </w:r>
            <w:r>
              <w:rPr>
                <w:rFonts w:hint="eastAsia" w:ascii="宋体" w:hAnsi="Times New Roman" w:eastAsia="宋体" w:cs="Times New Roman"/>
                <w:kern w:val="0"/>
                <w:sz w:val="18"/>
                <w:szCs w:val="18"/>
                <w14:ligatures w14:val="none"/>
              </w:rPr>
              <w:t>分钟。</w:t>
            </w:r>
          </w:p>
        </w:tc>
      </w:tr>
    </w:tbl>
    <w:p w14:paraId="6BE1791F">
      <w:pPr>
        <w:numPr>
          <w:ilvl w:val="0"/>
          <w:numId w:val="2"/>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重卡轮胎标准橡胶技术指标的确定</w:t>
      </w:r>
    </w:p>
    <w:p w14:paraId="43F095AB">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重卡轮胎标准橡胶技术指标的确定主要依据一级烟胶片及国产5号胶的标准以及2021年以来，中国热带农业科学院提供的实验结果，结合重卡轮胎生产过程中原材料要求制定。</w:t>
      </w:r>
    </w:p>
    <w:p w14:paraId="394CC99D">
      <w:pPr>
        <w:numPr>
          <w:ilvl w:val="0"/>
          <w:numId w:val="2"/>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挥发分、灰分、氮含量、杂质、丙酮抽出物技术指标的确定</w:t>
      </w:r>
    </w:p>
    <w:p w14:paraId="4FF9162D">
      <w:pPr>
        <w:spacing w:after="0" w:line="560" w:lineRule="exact"/>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重卡轮胎标准橡胶挥发分、灰分、氮含量、水溶物、杂质、丙酮抽出物技术指标是结合样品实验结果确定的，其实验结果见表4。</w:t>
      </w:r>
    </w:p>
    <w:p w14:paraId="21D494FD">
      <w:pPr>
        <w:spacing w:before="156" w:beforeLines="50" w:after="0" w:line="560" w:lineRule="exact"/>
        <w:jc w:val="center"/>
        <w:rPr>
          <w:rFonts w:ascii="Times New Roman" w:hAnsi="Times New Roman" w:eastAsia="宋体" w:cs="Times New Roman"/>
          <w:sz w:val="21"/>
          <w:szCs w:val="21"/>
          <w14:ligatures w14:val="none"/>
        </w:rPr>
      </w:pPr>
      <w:r>
        <w:rPr>
          <w:rFonts w:ascii="Times New Roman" w:hAnsi="Times New Roman" w:eastAsia="黑体" w:cs="Times New Roman"/>
          <w:sz w:val="21"/>
          <w:szCs w:val="21"/>
          <w14:ligatures w14:val="none"/>
        </w:rPr>
        <w:t xml:space="preserve">表4 </w:t>
      </w:r>
      <w:r>
        <w:rPr>
          <w:rFonts w:hint="eastAsia" w:ascii="Times New Roman" w:hAnsi="Times New Roman" w:eastAsia="黑体" w:cs="Times New Roman"/>
          <w:sz w:val="21"/>
          <w:szCs w:val="21"/>
          <w14:ligatures w14:val="none"/>
        </w:rPr>
        <w:t>挥发分、灰分、氮含量、杂质、丙酮抽出物</w:t>
      </w:r>
      <w:r>
        <w:rPr>
          <w:rFonts w:ascii="Times New Roman" w:hAnsi="Times New Roman" w:eastAsia="黑体" w:cs="Times New Roman"/>
          <w:sz w:val="21"/>
          <w:szCs w:val="21"/>
          <w14:ligatures w14:val="none"/>
        </w:rPr>
        <w:t>统计结果</w:t>
      </w:r>
    </w:p>
    <w:tbl>
      <w:tblPr>
        <w:tblStyle w:val="15"/>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5"/>
        <w:gridCol w:w="1480"/>
        <w:gridCol w:w="1480"/>
        <w:gridCol w:w="1480"/>
        <w:gridCol w:w="1849"/>
      </w:tblGrid>
      <w:tr w14:paraId="6974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vMerge w:val="restart"/>
            <w:tcBorders>
              <w:top w:val="single" w:color="000000" w:sz="12" w:space="0"/>
              <w:left w:val="nil"/>
              <w:bottom w:val="single" w:color="000000" w:sz="4" w:space="0"/>
              <w:right w:val="nil"/>
            </w:tcBorders>
            <w:shd w:val="clear" w:color="auto" w:fill="FFFFFF"/>
            <w:vAlign w:val="center"/>
          </w:tcPr>
          <w:p w14:paraId="7364832D">
            <w:pPr>
              <w:widowControl/>
              <w:spacing w:after="0" w:line="240" w:lineRule="auto"/>
              <w:jc w:val="center"/>
              <w:textAlignment w:val="center"/>
              <w:rPr>
                <w:rFonts w:ascii="Times New Roman" w:hAnsi="Times New Roman" w:eastAsia="宋体" w:cs="Times New Roman"/>
                <w:bCs/>
                <w:sz w:val="21"/>
                <w:szCs w:val="21"/>
                <w14:ligatures w14:val="none"/>
              </w:rPr>
            </w:pPr>
            <w:r>
              <w:rPr>
                <w:rFonts w:hint="eastAsia" w:ascii="Times New Roman" w:hAnsi="Times New Roman" w:eastAsia="宋体" w:cs="Times New Roman"/>
                <w:bCs/>
                <w:sz w:val="21"/>
                <w:szCs w:val="21"/>
                <w14:ligatures w14:val="none"/>
              </w:rPr>
              <w:t>项目</w:t>
            </w:r>
          </w:p>
        </w:tc>
        <w:tc>
          <w:tcPr>
            <w:tcW w:w="0" w:type="auto"/>
            <w:gridSpan w:val="4"/>
            <w:tcBorders>
              <w:top w:val="single" w:color="000000" w:sz="12" w:space="0"/>
              <w:left w:val="nil"/>
              <w:bottom w:val="single" w:color="000000" w:sz="4" w:space="0"/>
              <w:right w:val="nil"/>
            </w:tcBorders>
            <w:shd w:val="clear" w:color="auto" w:fill="FFFFFF"/>
            <w:vAlign w:val="center"/>
          </w:tcPr>
          <w:p w14:paraId="72094A4F">
            <w:pPr>
              <w:widowControl/>
              <w:spacing w:after="0" w:line="240" w:lineRule="auto"/>
              <w:jc w:val="center"/>
              <w:textAlignment w:val="center"/>
              <w:rPr>
                <w:rFonts w:ascii="Times New Roman" w:hAnsi="Times New Roman" w:eastAsia="宋体" w:cs="Times New Roman"/>
                <w:bCs/>
                <w:sz w:val="21"/>
                <w:szCs w:val="21"/>
                <w14:ligatures w14:val="none"/>
              </w:rPr>
            </w:pPr>
            <w:r>
              <w:rPr>
                <w:rFonts w:hint="eastAsia" w:ascii="Times New Roman" w:hAnsi="Times New Roman" w:eastAsia="宋体" w:cs="Times New Roman"/>
                <w:bCs/>
                <w:sz w:val="21"/>
                <w:szCs w:val="21"/>
                <w14:ligatures w14:val="none"/>
              </w:rPr>
              <w:t>检测结果</w:t>
            </w:r>
          </w:p>
        </w:tc>
      </w:tr>
      <w:tr w14:paraId="282CC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vMerge w:val="continue"/>
            <w:tcBorders>
              <w:top w:val="single" w:color="000000" w:sz="4" w:space="0"/>
              <w:left w:val="nil"/>
              <w:bottom w:val="single" w:color="000000" w:sz="4" w:space="0"/>
              <w:right w:val="nil"/>
            </w:tcBorders>
            <w:shd w:val="clear" w:color="auto" w:fill="FFFFFF"/>
            <w:vAlign w:val="center"/>
          </w:tcPr>
          <w:p w14:paraId="3B45A5ED">
            <w:pPr>
              <w:spacing w:after="0" w:line="240" w:lineRule="auto"/>
              <w:jc w:val="center"/>
              <w:rPr>
                <w:rFonts w:ascii="Times New Roman" w:hAnsi="Times New Roman" w:eastAsia="宋体" w:cs="Times New Roman"/>
                <w:bCs/>
                <w:sz w:val="21"/>
                <w:szCs w:val="21"/>
                <w14:ligatures w14:val="none"/>
              </w:rPr>
            </w:pPr>
          </w:p>
        </w:tc>
        <w:tc>
          <w:tcPr>
            <w:tcW w:w="0" w:type="auto"/>
            <w:tcBorders>
              <w:top w:val="single" w:color="000000" w:sz="4" w:space="0"/>
              <w:left w:val="nil"/>
              <w:bottom w:val="single" w:color="000000" w:sz="4" w:space="0"/>
              <w:right w:val="nil"/>
            </w:tcBorders>
            <w:shd w:val="clear" w:color="auto" w:fill="FFFFFF"/>
            <w:vAlign w:val="center"/>
          </w:tcPr>
          <w:p w14:paraId="79FB5AB2">
            <w:pPr>
              <w:widowControl/>
              <w:spacing w:after="0" w:line="240" w:lineRule="auto"/>
              <w:jc w:val="center"/>
              <w:textAlignment w:val="center"/>
              <w:rPr>
                <w:rFonts w:ascii="Times New Roman" w:hAnsi="Times New Roman" w:eastAsia="宋体" w:cs="Times New Roman"/>
                <w:bCs/>
                <w:sz w:val="21"/>
                <w:szCs w:val="21"/>
                <w14:ligatures w14:val="none"/>
              </w:rPr>
            </w:pPr>
            <w:r>
              <w:rPr>
                <w:rFonts w:ascii="Times New Roman" w:hAnsi="Times New Roman" w:eastAsia="宋体" w:cs="Times New Roman"/>
                <w:bCs/>
                <w:kern w:val="0"/>
                <w:sz w:val="21"/>
                <w:szCs w:val="21"/>
                <w:lang w:bidi="ar"/>
                <w14:ligatures w14:val="none"/>
              </w:rPr>
              <w:t>最低值</w:t>
            </w:r>
          </w:p>
        </w:tc>
        <w:tc>
          <w:tcPr>
            <w:tcW w:w="0" w:type="auto"/>
            <w:tcBorders>
              <w:top w:val="single" w:color="000000" w:sz="4" w:space="0"/>
              <w:left w:val="nil"/>
              <w:bottom w:val="single" w:color="000000" w:sz="4" w:space="0"/>
              <w:right w:val="nil"/>
            </w:tcBorders>
            <w:shd w:val="clear" w:color="auto" w:fill="FFFFFF"/>
            <w:vAlign w:val="center"/>
          </w:tcPr>
          <w:p w14:paraId="3AD36A8E">
            <w:pPr>
              <w:widowControl/>
              <w:spacing w:after="0" w:line="240" w:lineRule="auto"/>
              <w:jc w:val="center"/>
              <w:textAlignment w:val="center"/>
              <w:rPr>
                <w:rFonts w:ascii="Times New Roman" w:hAnsi="Times New Roman" w:eastAsia="宋体" w:cs="Times New Roman"/>
                <w:bCs/>
                <w:sz w:val="21"/>
                <w:szCs w:val="21"/>
                <w14:ligatures w14:val="none"/>
              </w:rPr>
            </w:pPr>
            <w:r>
              <w:rPr>
                <w:rFonts w:ascii="Times New Roman" w:hAnsi="Times New Roman" w:eastAsia="宋体" w:cs="Times New Roman"/>
                <w:bCs/>
                <w:kern w:val="0"/>
                <w:sz w:val="21"/>
                <w:szCs w:val="21"/>
                <w:lang w:bidi="ar"/>
                <w14:ligatures w14:val="none"/>
              </w:rPr>
              <w:t>最高值</w:t>
            </w:r>
          </w:p>
        </w:tc>
        <w:tc>
          <w:tcPr>
            <w:tcW w:w="0" w:type="auto"/>
            <w:tcBorders>
              <w:top w:val="single" w:color="000000" w:sz="4" w:space="0"/>
              <w:left w:val="nil"/>
              <w:bottom w:val="single" w:color="000000" w:sz="4" w:space="0"/>
              <w:right w:val="nil"/>
            </w:tcBorders>
            <w:shd w:val="clear" w:color="auto" w:fill="FFFFFF"/>
            <w:vAlign w:val="center"/>
          </w:tcPr>
          <w:p w14:paraId="5BABA838">
            <w:pPr>
              <w:widowControl/>
              <w:spacing w:after="0" w:line="240" w:lineRule="auto"/>
              <w:jc w:val="center"/>
              <w:textAlignment w:val="center"/>
              <w:rPr>
                <w:rFonts w:ascii="Times New Roman" w:hAnsi="Times New Roman" w:eastAsia="宋体" w:cs="Times New Roman"/>
                <w:bCs/>
                <w:sz w:val="21"/>
                <w:szCs w:val="21"/>
                <w14:ligatures w14:val="none"/>
              </w:rPr>
            </w:pPr>
            <w:r>
              <w:rPr>
                <w:rFonts w:ascii="Times New Roman" w:hAnsi="Times New Roman" w:eastAsia="宋体" w:cs="Times New Roman"/>
                <w:bCs/>
                <w:kern w:val="0"/>
                <w:sz w:val="21"/>
                <w:szCs w:val="21"/>
                <w:lang w:bidi="ar"/>
                <w14:ligatures w14:val="none"/>
              </w:rPr>
              <w:t>平均值</w:t>
            </w:r>
          </w:p>
        </w:tc>
        <w:tc>
          <w:tcPr>
            <w:tcW w:w="0" w:type="auto"/>
            <w:tcBorders>
              <w:top w:val="single" w:color="000000" w:sz="4" w:space="0"/>
              <w:left w:val="nil"/>
              <w:bottom w:val="single" w:color="000000" w:sz="4" w:space="0"/>
              <w:right w:val="nil"/>
            </w:tcBorders>
            <w:shd w:val="clear" w:color="auto" w:fill="FFFFFF"/>
            <w:vAlign w:val="center"/>
          </w:tcPr>
          <w:p w14:paraId="636155FE">
            <w:pPr>
              <w:widowControl/>
              <w:spacing w:after="0" w:line="240" w:lineRule="auto"/>
              <w:jc w:val="center"/>
              <w:textAlignment w:val="center"/>
              <w:rPr>
                <w:rFonts w:ascii="Times New Roman" w:hAnsi="Times New Roman" w:eastAsia="宋体" w:cs="Times New Roman"/>
                <w:bCs/>
                <w:sz w:val="21"/>
                <w:szCs w:val="21"/>
                <w14:ligatures w14:val="none"/>
              </w:rPr>
            </w:pPr>
            <w:r>
              <w:rPr>
                <w:rFonts w:ascii="Times New Roman" w:hAnsi="Times New Roman" w:eastAsia="宋体" w:cs="Times New Roman"/>
                <w:bCs/>
                <w:kern w:val="0"/>
                <w:sz w:val="21"/>
                <w:szCs w:val="21"/>
                <w:lang w:bidi="ar"/>
                <w14:ligatures w14:val="none"/>
              </w:rPr>
              <w:t>超限次数</w:t>
            </w:r>
          </w:p>
        </w:tc>
      </w:tr>
      <w:tr w14:paraId="01FE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single" w:color="000000" w:sz="4" w:space="0"/>
              <w:left w:val="nil"/>
              <w:bottom w:val="nil"/>
              <w:right w:val="nil"/>
            </w:tcBorders>
            <w:shd w:val="clear" w:color="auto" w:fill="FFFFFF"/>
            <w:vAlign w:val="center"/>
          </w:tcPr>
          <w:p w14:paraId="5A1FA1B4">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挥发分</w:t>
            </w:r>
          </w:p>
        </w:tc>
        <w:tc>
          <w:tcPr>
            <w:tcW w:w="0" w:type="auto"/>
            <w:tcBorders>
              <w:top w:val="single" w:color="000000" w:sz="4" w:space="0"/>
              <w:left w:val="nil"/>
              <w:bottom w:val="nil"/>
              <w:right w:val="nil"/>
            </w:tcBorders>
            <w:shd w:val="clear" w:color="auto" w:fill="FFFFFF"/>
            <w:vAlign w:val="center"/>
          </w:tcPr>
          <w:p w14:paraId="0A8B6D4E">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0.24</w:t>
            </w:r>
          </w:p>
        </w:tc>
        <w:tc>
          <w:tcPr>
            <w:tcW w:w="0" w:type="auto"/>
            <w:tcBorders>
              <w:top w:val="single" w:color="000000" w:sz="4" w:space="0"/>
              <w:left w:val="nil"/>
              <w:bottom w:val="nil"/>
              <w:right w:val="nil"/>
            </w:tcBorders>
            <w:shd w:val="clear" w:color="auto" w:fill="FFFFFF"/>
            <w:vAlign w:val="center"/>
          </w:tcPr>
          <w:p w14:paraId="21ED06EE">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0.46</w:t>
            </w:r>
          </w:p>
        </w:tc>
        <w:tc>
          <w:tcPr>
            <w:tcW w:w="0" w:type="auto"/>
            <w:tcBorders>
              <w:top w:val="single" w:color="000000" w:sz="4" w:space="0"/>
              <w:left w:val="nil"/>
              <w:bottom w:val="nil"/>
              <w:right w:val="nil"/>
            </w:tcBorders>
            <w:shd w:val="clear" w:color="auto" w:fill="FFFFFF"/>
            <w:vAlign w:val="center"/>
          </w:tcPr>
          <w:p w14:paraId="1D2F97C7">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0.36</w:t>
            </w:r>
          </w:p>
        </w:tc>
        <w:tc>
          <w:tcPr>
            <w:tcW w:w="0" w:type="auto"/>
            <w:tcBorders>
              <w:top w:val="single" w:color="000000" w:sz="4" w:space="0"/>
              <w:left w:val="nil"/>
              <w:bottom w:val="nil"/>
              <w:right w:val="nil"/>
            </w:tcBorders>
            <w:shd w:val="clear" w:color="auto" w:fill="FFFFFF"/>
            <w:vAlign w:val="center"/>
          </w:tcPr>
          <w:p w14:paraId="45DE736D">
            <w:pPr>
              <w:widowControl/>
              <w:spacing w:after="0" w:line="240" w:lineRule="auto"/>
              <w:jc w:val="center"/>
              <w:textAlignment w:val="center"/>
              <w:rPr>
                <w:rFonts w:ascii="Times New Roman" w:hAnsi="Times New Roman" w:eastAsia="宋体" w:cs="Times New Roman"/>
                <w:sz w:val="21"/>
                <w:szCs w:val="21"/>
                <w14:ligatures w14:val="none"/>
              </w:rPr>
            </w:pPr>
            <w:r>
              <w:rPr>
                <w:rFonts w:ascii="Times New Roman" w:hAnsi="Times New Roman" w:eastAsia="宋体" w:cs="Times New Roman"/>
                <w:kern w:val="0"/>
                <w:sz w:val="21"/>
                <w:szCs w:val="21"/>
                <w:lang w:bidi="ar"/>
                <w14:ligatures w14:val="none"/>
              </w:rPr>
              <w:t>0</w:t>
            </w:r>
          </w:p>
        </w:tc>
      </w:tr>
      <w:tr w14:paraId="1B4E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vAlign w:val="center"/>
          </w:tcPr>
          <w:p w14:paraId="2D57F754">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灰分</w:t>
            </w:r>
          </w:p>
        </w:tc>
        <w:tc>
          <w:tcPr>
            <w:tcW w:w="0" w:type="auto"/>
            <w:tcBorders>
              <w:top w:val="nil"/>
              <w:left w:val="nil"/>
              <w:bottom w:val="nil"/>
              <w:right w:val="nil"/>
            </w:tcBorders>
            <w:shd w:val="clear" w:color="auto" w:fill="FFFFFF"/>
            <w:vAlign w:val="center"/>
          </w:tcPr>
          <w:p w14:paraId="22B809F1">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0.68</w:t>
            </w:r>
          </w:p>
        </w:tc>
        <w:tc>
          <w:tcPr>
            <w:tcW w:w="0" w:type="auto"/>
            <w:tcBorders>
              <w:top w:val="nil"/>
              <w:left w:val="nil"/>
              <w:bottom w:val="nil"/>
              <w:right w:val="nil"/>
            </w:tcBorders>
            <w:shd w:val="clear" w:color="auto" w:fill="FFFFFF"/>
            <w:vAlign w:val="center"/>
          </w:tcPr>
          <w:p w14:paraId="0962246B">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0.96</w:t>
            </w:r>
          </w:p>
        </w:tc>
        <w:tc>
          <w:tcPr>
            <w:tcW w:w="0" w:type="auto"/>
            <w:tcBorders>
              <w:top w:val="nil"/>
              <w:left w:val="nil"/>
              <w:bottom w:val="nil"/>
              <w:right w:val="nil"/>
            </w:tcBorders>
            <w:shd w:val="clear" w:color="auto" w:fill="FFFFFF"/>
            <w:vAlign w:val="center"/>
          </w:tcPr>
          <w:p w14:paraId="151BC363">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0.75</w:t>
            </w:r>
          </w:p>
        </w:tc>
        <w:tc>
          <w:tcPr>
            <w:tcW w:w="0" w:type="auto"/>
            <w:tcBorders>
              <w:top w:val="nil"/>
              <w:left w:val="nil"/>
              <w:bottom w:val="nil"/>
              <w:right w:val="nil"/>
            </w:tcBorders>
            <w:shd w:val="clear" w:color="auto" w:fill="FFFFFF"/>
            <w:vAlign w:val="center"/>
          </w:tcPr>
          <w:p w14:paraId="65236E60">
            <w:pPr>
              <w:widowControl/>
              <w:spacing w:after="0" w:line="240" w:lineRule="auto"/>
              <w:jc w:val="center"/>
              <w:textAlignment w:val="center"/>
              <w:rPr>
                <w:rFonts w:ascii="Times New Roman" w:hAnsi="Times New Roman" w:eastAsia="宋体" w:cs="Times New Roman"/>
                <w:sz w:val="21"/>
                <w:szCs w:val="21"/>
                <w14:ligatures w14:val="none"/>
              </w:rPr>
            </w:pPr>
            <w:r>
              <w:rPr>
                <w:rFonts w:ascii="Times New Roman" w:hAnsi="Times New Roman" w:eastAsia="宋体" w:cs="Times New Roman"/>
                <w:kern w:val="0"/>
                <w:sz w:val="21"/>
                <w:szCs w:val="21"/>
                <w:lang w:bidi="ar"/>
                <w14:ligatures w14:val="none"/>
              </w:rPr>
              <w:t>0</w:t>
            </w:r>
          </w:p>
        </w:tc>
      </w:tr>
      <w:tr w14:paraId="6B7D9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vAlign w:val="center"/>
          </w:tcPr>
          <w:p w14:paraId="2546A243">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氮含量</w:t>
            </w:r>
          </w:p>
        </w:tc>
        <w:tc>
          <w:tcPr>
            <w:tcW w:w="0" w:type="auto"/>
            <w:tcBorders>
              <w:top w:val="nil"/>
              <w:left w:val="nil"/>
              <w:bottom w:val="nil"/>
              <w:right w:val="nil"/>
            </w:tcBorders>
            <w:shd w:val="clear" w:color="auto" w:fill="FFFFFF"/>
            <w:vAlign w:val="center"/>
          </w:tcPr>
          <w:p w14:paraId="21CBAB86">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0.16</w:t>
            </w:r>
          </w:p>
        </w:tc>
        <w:tc>
          <w:tcPr>
            <w:tcW w:w="0" w:type="auto"/>
            <w:tcBorders>
              <w:top w:val="nil"/>
              <w:left w:val="nil"/>
              <w:bottom w:val="nil"/>
              <w:right w:val="nil"/>
            </w:tcBorders>
            <w:shd w:val="clear" w:color="auto" w:fill="FFFFFF"/>
            <w:vAlign w:val="center"/>
          </w:tcPr>
          <w:p w14:paraId="1D7FFC96">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0.43</w:t>
            </w:r>
          </w:p>
        </w:tc>
        <w:tc>
          <w:tcPr>
            <w:tcW w:w="0" w:type="auto"/>
            <w:tcBorders>
              <w:top w:val="nil"/>
              <w:left w:val="nil"/>
              <w:bottom w:val="nil"/>
              <w:right w:val="nil"/>
            </w:tcBorders>
            <w:shd w:val="clear" w:color="auto" w:fill="FFFFFF"/>
            <w:vAlign w:val="center"/>
          </w:tcPr>
          <w:p w14:paraId="5209D637">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0.35</w:t>
            </w:r>
          </w:p>
        </w:tc>
        <w:tc>
          <w:tcPr>
            <w:tcW w:w="0" w:type="auto"/>
            <w:tcBorders>
              <w:top w:val="nil"/>
              <w:left w:val="nil"/>
              <w:bottom w:val="nil"/>
              <w:right w:val="nil"/>
            </w:tcBorders>
            <w:shd w:val="clear" w:color="auto" w:fill="FFFFFF"/>
            <w:vAlign w:val="center"/>
          </w:tcPr>
          <w:p w14:paraId="5E6BE00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kern w:val="0"/>
                <w:sz w:val="21"/>
                <w:szCs w:val="21"/>
                <w:lang w:bidi="ar"/>
                <w14:ligatures w14:val="none"/>
              </w:rPr>
              <w:t>0</w:t>
            </w:r>
          </w:p>
        </w:tc>
      </w:tr>
      <w:tr w14:paraId="51BC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vAlign w:val="center"/>
          </w:tcPr>
          <w:p w14:paraId="4C71B9E3">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丙酮抽出物</w:t>
            </w:r>
          </w:p>
        </w:tc>
        <w:tc>
          <w:tcPr>
            <w:tcW w:w="0" w:type="auto"/>
            <w:tcBorders>
              <w:top w:val="nil"/>
              <w:left w:val="nil"/>
              <w:bottom w:val="nil"/>
              <w:right w:val="nil"/>
            </w:tcBorders>
            <w:shd w:val="clear" w:color="auto" w:fill="FFFFFF"/>
            <w:vAlign w:val="center"/>
          </w:tcPr>
          <w:p w14:paraId="41F5145A">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2.55</w:t>
            </w:r>
          </w:p>
        </w:tc>
        <w:tc>
          <w:tcPr>
            <w:tcW w:w="0" w:type="auto"/>
            <w:tcBorders>
              <w:top w:val="nil"/>
              <w:left w:val="nil"/>
              <w:bottom w:val="nil"/>
              <w:right w:val="nil"/>
            </w:tcBorders>
            <w:shd w:val="clear" w:color="auto" w:fill="FFFFFF"/>
            <w:vAlign w:val="center"/>
          </w:tcPr>
          <w:p w14:paraId="721AA73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3.64</w:t>
            </w:r>
          </w:p>
        </w:tc>
        <w:tc>
          <w:tcPr>
            <w:tcW w:w="0" w:type="auto"/>
            <w:tcBorders>
              <w:top w:val="nil"/>
              <w:left w:val="nil"/>
              <w:bottom w:val="nil"/>
              <w:right w:val="nil"/>
            </w:tcBorders>
            <w:shd w:val="clear" w:color="auto" w:fill="FFFFFF"/>
            <w:vAlign w:val="center"/>
          </w:tcPr>
          <w:p w14:paraId="038D1597">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3.28</w:t>
            </w:r>
          </w:p>
        </w:tc>
        <w:tc>
          <w:tcPr>
            <w:tcW w:w="0" w:type="auto"/>
            <w:tcBorders>
              <w:top w:val="nil"/>
              <w:left w:val="nil"/>
              <w:bottom w:val="nil"/>
              <w:right w:val="nil"/>
            </w:tcBorders>
            <w:shd w:val="clear" w:color="auto" w:fill="FFFFFF"/>
            <w:vAlign w:val="center"/>
          </w:tcPr>
          <w:p w14:paraId="5681EF09">
            <w:pPr>
              <w:widowControl/>
              <w:spacing w:after="0" w:line="240" w:lineRule="auto"/>
              <w:jc w:val="center"/>
              <w:textAlignment w:val="center"/>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0</w:t>
            </w:r>
          </w:p>
        </w:tc>
      </w:tr>
      <w:tr w14:paraId="33A9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single" w:color="000000" w:sz="12" w:space="0"/>
              <w:right w:val="nil"/>
            </w:tcBorders>
            <w:shd w:val="clear" w:color="auto" w:fill="FFFFFF"/>
            <w:vAlign w:val="center"/>
          </w:tcPr>
          <w:p w14:paraId="384E2ECC">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杂质</w:t>
            </w:r>
          </w:p>
        </w:tc>
        <w:tc>
          <w:tcPr>
            <w:tcW w:w="0" w:type="auto"/>
            <w:tcBorders>
              <w:top w:val="nil"/>
              <w:left w:val="nil"/>
              <w:bottom w:val="single" w:color="000000" w:sz="12" w:space="0"/>
              <w:right w:val="nil"/>
            </w:tcBorders>
            <w:shd w:val="clear" w:color="auto" w:fill="FFFFFF"/>
            <w:vAlign w:val="center"/>
          </w:tcPr>
          <w:p w14:paraId="2A661D3B">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0.06</w:t>
            </w:r>
          </w:p>
        </w:tc>
        <w:tc>
          <w:tcPr>
            <w:tcW w:w="0" w:type="auto"/>
            <w:tcBorders>
              <w:top w:val="nil"/>
              <w:left w:val="nil"/>
              <w:bottom w:val="single" w:color="000000" w:sz="12" w:space="0"/>
              <w:right w:val="nil"/>
            </w:tcBorders>
            <w:shd w:val="clear" w:color="auto" w:fill="FFFFFF"/>
            <w:vAlign w:val="center"/>
          </w:tcPr>
          <w:p w14:paraId="2A7C2119">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0.16</w:t>
            </w:r>
          </w:p>
        </w:tc>
        <w:tc>
          <w:tcPr>
            <w:tcW w:w="0" w:type="auto"/>
            <w:tcBorders>
              <w:top w:val="nil"/>
              <w:left w:val="nil"/>
              <w:bottom w:val="single" w:color="000000" w:sz="12" w:space="0"/>
              <w:right w:val="nil"/>
            </w:tcBorders>
            <w:shd w:val="clear" w:color="auto" w:fill="FFFFFF"/>
            <w:vAlign w:val="center"/>
          </w:tcPr>
          <w:p w14:paraId="770E8C8D">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0.09</w:t>
            </w:r>
          </w:p>
        </w:tc>
        <w:tc>
          <w:tcPr>
            <w:tcW w:w="0" w:type="auto"/>
            <w:tcBorders>
              <w:top w:val="nil"/>
              <w:left w:val="nil"/>
              <w:bottom w:val="single" w:color="000000" w:sz="12" w:space="0"/>
              <w:right w:val="nil"/>
            </w:tcBorders>
            <w:shd w:val="clear" w:color="auto" w:fill="FFFFFF"/>
            <w:vAlign w:val="center"/>
          </w:tcPr>
          <w:p w14:paraId="04330093">
            <w:pPr>
              <w:widowControl/>
              <w:spacing w:after="0" w:line="240" w:lineRule="auto"/>
              <w:jc w:val="center"/>
              <w:textAlignment w:val="center"/>
              <w:rPr>
                <w:rFonts w:ascii="Times New Roman" w:hAnsi="Times New Roman" w:eastAsia="宋体" w:cs="Times New Roman"/>
                <w:sz w:val="21"/>
                <w:szCs w:val="21"/>
                <w14:ligatures w14:val="none"/>
              </w:rPr>
            </w:pPr>
            <w:r>
              <w:rPr>
                <w:rFonts w:ascii="Times New Roman" w:hAnsi="Times New Roman" w:eastAsia="宋体" w:cs="Times New Roman"/>
                <w:kern w:val="0"/>
                <w:sz w:val="21"/>
                <w:szCs w:val="21"/>
                <w:lang w:bidi="ar"/>
                <w14:ligatures w14:val="none"/>
              </w:rPr>
              <w:t>0</w:t>
            </w:r>
          </w:p>
        </w:tc>
      </w:tr>
    </w:tbl>
    <w:p w14:paraId="13DA3FBD">
      <w:pPr>
        <w:spacing w:after="0" w:line="560" w:lineRule="exact"/>
        <w:jc w:val="both"/>
        <w:rPr>
          <w:rFonts w:ascii="Times New Roman" w:hAnsi="Times New Roman" w:eastAsia="仿宋_GB2312" w:cs="Times New Roman"/>
          <w:sz w:val="32"/>
          <w14:ligatures w14:val="none"/>
        </w:rPr>
      </w:pPr>
    </w:p>
    <w:p w14:paraId="36CBE923">
      <w:pPr>
        <w:numPr>
          <w:ilvl w:val="0"/>
          <w:numId w:val="3"/>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挥发分：现行标准中，GB/T 8081-2008规定值最小，为≤0.60%，表4结果显示，目前重卡轮胎标准橡胶挥发分更小，可以满足“≤0.50%”，具有可行性。</w:t>
      </w:r>
    </w:p>
    <w:p w14:paraId="47BBB563">
      <w:pPr>
        <w:numPr>
          <w:ilvl w:val="0"/>
          <w:numId w:val="3"/>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灰分：现行标准中，GB/T 8081-2008规定值最小，为≤0.60%，表4结果显示，目前重卡轮胎标准橡胶灰分≤1.00，满足“≤1.00%”。</w:t>
      </w:r>
    </w:p>
    <w:p w14:paraId="38C103B2">
      <w:pPr>
        <w:numPr>
          <w:ilvl w:val="0"/>
          <w:numId w:val="3"/>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杂质：现行标准中，GB/T 8081-2008规定值最小，为≤0.05%，在表4结果显示，目前重卡轮胎标准橡胶杂质较多，但满足“≤0.16%”。</w:t>
      </w:r>
    </w:p>
    <w:p w14:paraId="072A705C">
      <w:pPr>
        <w:numPr>
          <w:ilvl w:val="0"/>
          <w:numId w:val="3"/>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氮含量：现行标准中，GB/T 8081-2008规定值最小，为≤0.60%，氮含量过低或过高都会影响天然生胶的物理性能，在表4结果显示，目前重卡轮胎标准橡胶氮含量基本稳定在0.10%-0.50%之间，可以满足“0.10%-0.50%”的要求，具有可行性。</w:t>
      </w:r>
    </w:p>
    <w:p w14:paraId="0225214A">
      <w:pPr>
        <w:numPr>
          <w:ilvl w:val="0"/>
          <w:numId w:val="3"/>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丙酮抽出物：现行标准中，NY/T 733-2003中对丙酮抽出物规定为“≤3.5%”，根据研究显示，过低的丙酮抽出物也会影响胶料质量，故将指标更改为“1.00%-4.00%”，根据表4显示，可以满足要求，具有可行性。</w:t>
      </w:r>
    </w:p>
    <w:p w14:paraId="30227E69">
      <w:pPr>
        <w:numPr>
          <w:ilvl w:val="0"/>
          <w:numId w:val="2"/>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硬度、门尼粘度、拉伸强度、拉断伸长率、塑性初值、塑性保持率、撕裂强度、压缩生热、回弹值、压缩永久变形、阿克隆磨耗、DIN磨耗技术指标的确定。</w:t>
      </w:r>
    </w:p>
    <w:p w14:paraId="365853AB">
      <w:p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重卡轮胎标准橡胶物理性能及门尼粘度、塑性初值、塑性保持率是根据一级烟胶片及国产5号胶的标准以及2021年以来，中国热带农业科学院提供的实验结果确定的，其实验结果见表5。</w:t>
      </w:r>
    </w:p>
    <w:p w14:paraId="758E9292">
      <w:pPr>
        <w:spacing w:before="156" w:beforeLines="50" w:after="0" w:line="560" w:lineRule="exact"/>
        <w:jc w:val="center"/>
        <w:rPr>
          <w:rFonts w:ascii="Times New Roman" w:hAnsi="Times New Roman" w:eastAsia="宋体" w:cs="Times New Roman"/>
          <w:sz w:val="21"/>
          <w:szCs w:val="21"/>
          <w14:ligatures w14:val="none"/>
        </w:rPr>
      </w:pPr>
      <w:r>
        <w:rPr>
          <w:rFonts w:ascii="Times New Roman" w:hAnsi="Times New Roman" w:eastAsia="黑体" w:cs="Times New Roman"/>
          <w:sz w:val="21"/>
          <w:szCs w:val="21"/>
          <w14:ligatures w14:val="none"/>
        </w:rPr>
        <w:t>表</w:t>
      </w:r>
      <w:r>
        <w:rPr>
          <w:rFonts w:hint="eastAsia" w:ascii="Times New Roman" w:hAnsi="Times New Roman" w:eastAsia="黑体" w:cs="Times New Roman"/>
          <w:sz w:val="21"/>
          <w:szCs w:val="21"/>
          <w14:ligatures w14:val="none"/>
        </w:rPr>
        <w:t>5</w:t>
      </w:r>
      <w:r>
        <w:rPr>
          <w:rFonts w:ascii="Times New Roman" w:hAnsi="Times New Roman" w:eastAsia="黑体" w:cs="Times New Roman"/>
          <w:sz w:val="21"/>
          <w:szCs w:val="21"/>
          <w14:ligatures w14:val="none"/>
        </w:rPr>
        <w:t xml:space="preserve"> </w:t>
      </w:r>
      <w:r>
        <w:rPr>
          <w:rFonts w:hint="eastAsia" w:ascii="Times New Roman" w:hAnsi="Times New Roman" w:eastAsia="黑体" w:cs="Times New Roman"/>
          <w:sz w:val="21"/>
          <w:szCs w:val="21"/>
          <w14:ligatures w14:val="none"/>
        </w:rPr>
        <w:t>物理性能及工艺性能</w:t>
      </w:r>
      <w:r>
        <w:rPr>
          <w:rFonts w:ascii="Times New Roman" w:hAnsi="Times New Roman" w:eastAsia="黑体" w:cs="Times New Roman"/>
          <w:sz w:val="21"/>
          <w:szCs w:val="21"/>
          <w14:ligatures w14:val="none"/>
        </w:rPr>
        <w:t>统计结果</w:t>
      </w:r>
    </w:p>
    <w:tbl>
      <w:tblPr>
        <w:tblStyle w:val="15"/>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1325"/>
        <w:gridCol w:w="1325"/>
        <w:gridCol w:w="1325"/>
        <w:gridCol w:w="1654"/>
      </w:tblGrid>
      <w:tr w14:paraId="49422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vMerge w:val="restart"/>
            <w:tcBorders>
              <w:top w:val="single" w:color="000000" w:sz="12" w:space="0"/>
              <w:left w:val="nil"/>
              <w:bottom w:val="single" w:color="000000" w:sz="4" w:space="0"/>
              <w:right w:val="nil"/>
            </w:tcBorders>
            <w:shd w:val="clear" w:color="auto" w:fill="FFFFFF"/>
            <w:vAlign w:val="center"/>
          </w:tcPr>
          <w:p w14:paraId="7999E7DE">
            <w:pPr>
              <w:widowControl/>
              <w:spacing w:after="0" w:line="240" w:lineRule="auto"/>
              <w:jc w:val="center"/>
              <w:textAlignment w:val="center"/>
              <w:rPr>
                <w:rFonts w:ascii="Times New Roman" w:hAnsi="Times New Roman" w:eastAsia="宋体" w:cs="Times New Roman"/>
                <w:bCs/>
                <w:sz w:val="21"/>
                <w:szCs w:val="21"/>
                <w14:ligatures w14:val="none"/>
              </w:rPr>
            </w:pPr>
            <w:r>
              <w:rPr>
                <w:rFonts w:hint="eastAsia" w:ascii="Times New Roman" w:hAnsi="Times New Roman" w:eastAsia="宋体" w:cs="Times New Roman"/>
                <w:bCs/>
                <w:sz w:val="21"/>
                <w:szCs w:val="21"/>
                <w14:ligatures w14:val="none"/>
              </w:rPr>
              <w:t>项目</w:t>
            </w:r>
          </w:p>
        </w:tc>
        <w:tc>
          <w:tcPr>
            <w:tcW w:w="0" w:type="auto"/>
            <w:gridSpan w:val="4"/>
            <w:tcBorders>
              <w:top w:val="single" w:color="000000" w:sz="12" w:space="0"/>
              <w:left w:val="nil"/>
              <w:bottom w:val="single" w:color="000000" w:sz="4" w:space="0"/>
              <w:right w:val="nil"/>
            </w:tcBorders>
            <w:shd w:val="clear" w:color="auto" w:fill="FFFFFF"/>
            <w:vAlign w:val="center"/>
          </w:tcPr>
          <w:p w14:paraId="2061212B">
            <w:pPr>
              <w:widowControl/>
              <w:spacing w:after="0" w:line="240" w:lineRule="auto"/>
              <w:jc w:val="center"/>
              <w:textAlignment w:val="center"/>
              <w:rPr>
                <w:rFonts w:ascii="Times New Roman" w:hAnsi="Times New Roman" w:eastAsia="宋体" w:cs="Times New Roman"/>
                <w:bCs/>
                <w:sz w:val="21"/>
                <w:szCs w:val="21"/>
                <w14:ligatures w14:val="none"/>
              </w:rPr>
            </w:pPr>
            <w:r>
              <w:rPr>
                <w:rFonts w:hint="eastAsia" w:ascii="Times New Roman" w:hAnsi="Times New Roman" w:eastAsia="宋体" w:cs="Times New Roman"/>
                <w:bCs/>
                <w:sz w:val="21"/>
                <w:szCs w:val="21"/>
                <w14:ligatures w14:val="none"/>
              </w:rPr>
              <w:t>检测结果</w:t>
            </w:r>
          </w:p>
        </w:tc>
      </w:tr>
      <w:tr w14:paraId="59C4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vMerge w:val="continue"/>
            <w:tcBorders>
              <w:top w:val="single" w:color="000000" w:sz="4" w:space="0"/>
              <w:left w:val="nil"/>
              <w:bottom w:val="single" w:color="000000" w:sz="4" w:space="0"/>
              <w:right w:val="nil"/>
            </w:tcBorders>
            <w:shd w:val="clear" w:color="auto" w:fill="FFFFFF"/>
            <w:vAlign w:val="center"/>
          </w:tcPr>
          <w:p w14:paraId="0A36DE58">
            <w:pPr>
              <w:spacing w:after="0" w:line="240" w:lineRule="auto"/>
              <w:jc w:val="center"/>
              <w:rPr>
                <w:rFonts w:ascii="Times New Roman" w:hAnsi="Times New Roman" w:eastAsia="宋体" w:cs="Times New Roman"/>
                <w:bCs/>
                <w:sz w:val="21"/>
                <w:szCs w:val="21"/>
                <w14:ligatures w14:val="none"/>
              </w:rPr>
            </w:pPr>
          </w:p>
        </w:tc>
        <w:tc>
          <w:tcPr>
            <w:tcW w:w="0" w:type="auto"/>
            <w:tcBorders>
              <w:top w:val="single" w:color="000000" w:sz="4" w:space="0"/>
              <w:left w:val="nil"/>
              <w:bottom w:val="single" w:color="000000" w:sz="4" w:space="0"/>
              <w:right w:val="nil"/>
            </w:tcBorders>
            <w:shd w:val="clear" w:color="auto" w:fill="FFFFFF"/>
            <w:vAlign w:val="center"/>
          </w:tcPr>
          <w:p w14:paraId="75FC7D01">
            <w:pPr>
              <w:widowControl/>
              <w:spacing w:after="0" w:line="240" w:lineRule="auto"/>
              <w:jc w:val="center"/>
              <w:textAlignment w:val="center"/>
              <w:rPr>
                <w:rFonts w:ascii="Times New Roman" w:hAnsi="Times New Roman" w:eastAsia="宋体" w:cs="Times New Roman"/>
                <w:bCs/>
                <w:sz w:val="21"/>
                <w:szCs w:val="21"/>
                <w14:ligatures w14:val="none"/>
              </w:rPr>
            </w:pPr>
            <w:r>
              <w:rPr>
                <w:rFonts w:ascii="Times New Roman" w:hAnsi="Times New Roman" w:eastAsia="宋体" w:cs="Times New Roman"/>
                <w:bCs/>
                <w:kern w:val="0"/>
                <w:sz w:val="21"/>
                <w:szCs w:val="21"/>
                <w:lang w:bidi="ar"/>
                <w14:ligatures w14:val="none"/>
              </w:rPr>
              <w:t>最低值</w:t>
            </w:r>
          </w:p>
        </w:tc>
        <w:tc>
          <w:tcPr>
            <w:tcW w:w="0" w:type="auto"/>
            <w:tcBorders>
              <w:top w:val="single" w:color="000000" w:sz="4" w:space="0"/>
              <w:left w:val="nil"/>
              <w:bottom w:val="single" w:color="000000" w:sz="4" w:space="0"/>
              <w:right w:val="nil"/>
            </w:tcBorders>
            <w:shd w:val="clear" w:color="auto" w:fill="FFFFFF"/>
            <w:vAlign w:val="center"/>
          </w:tcPr>
          <w:p w14:paraId="7254818D">
            <w:pPr>
              <w:widowControl/>
              <w:spacing w:after="0" w:line="240" w:lineRule="auto"/>
              <w:jc w:val="center"/>
              <w:textAlignment w:val="center"/>
              <w:rPr>
                <w:rFonts w:ascii="Times New Roman" w:hAnsi="Times New Roman" w:eastAsia="宋体" w:cs="Times New Roman"/>
                <w:bCs/>
                <w:sz w:val="21"/>
                <w:szCs w:val="21"/>
                <w14:ligatures w14:val="none"/>
              </w:rPr>
            </w:pPr>
            <w:r>
              <w:rPr>
                <w:rFonts w:ascii="Times New Roman" w:hAnsi="Times New Roman" w:eastAsia="宋体" w:cs="Times New Roman"/>
                <w:bCs/>
                <w:kern w:val="0"/>
                <w:sz w:val="21"/>
                <w:szCs w:val="21"/>
                <w:lang w:bidi="ar"/>
                <w14:ligatures w14:val="none"/>
              </w:rPr>
              <w:t>最高值</w:t>
            </w:r>
          </w:p>
        </w:tc>
        <w:tc>
          <w:tcPr>
            <w:tcW w:w="0" w:type="auto"/>
            <w:tcBorders>
              <w:top w:val="single" w:color="000000" w:sz="4" w:space="0"/>
              <w:left w:val="nil"/>
              <w:bottom w:val="single" w:color="000000" w:sz="4" w:space="0"/>
              <w:right w:val="nil"/>
            </w:tcBorders>
            <w:shd w:val="clear" w:color="auto" w:fill="FFFFFF"/>
            <w:vAlign w:val="center"/>
          </w:tcPr>
          <w:p w14:paraId="2EFAF788">
            <w:pPr>
              <w:widowControl/>
              <w:spacing w:after="0" w:line="240" w:lineRule="auto"/>
              <w:jc w:val="center"/>
              <w:textAlignment w:val="center"/>
              <w:rPr>
                <w:rFonts w:ascii="Times New Roman" w:hAnsi="Times New Roman" w:eastAsia="宋体" w:cs="Times New Roman"/>
                <w:bCs/>
                <w:sz w:val="21"/>
                <w:szCs w:val="21"/>
                <w14:ligatures w14:val="none"/>
              </w:rPr>
            </w:pPr>
            <w:r>
              <w:rPr>
                <w:rFonts w:ascii="Times New Roman" w:hAnsi="Times New Roman" w:eastAsia="宋体" w:cs="Times New Roman"/>
                <w:bCs/>
                <w:kern w:val="0"/>
                <w:sz w:val="21"/>
                <w:szCs w:val="21"/>
                <w:lang w:bidi="ar"/>
                <w14:ligatures w14:val="none"/>
              </w:rPr>
              <w:t>平均值</w:t>
            </w:r>
          </w:p>
        </w:tc>
        <w:tc>
          <w:tcPr>
            <w:tcW w:w="0" w:type="auto"/>
            <w:tcBorders>
              <w:top w:val="single" w:color="000000" w:sz="4" w:space="0"/>
              <w:left w:val="nil"/>
              <w:bottom w:val="single" w:color="000000" w:sz="4" w:space="0"/>
              <w:right w:val="nil"/>
            </w:tcBorders>
            <w:shd w:val="clear" w:color="auto" w:fill="FFFFFF"/>
            <w:vAlign w:val="center"/>
          </w:tcPr>
          <w:p w14:paraId="6CF6F93D">
            <w:pPr>
              <w:widowControl/>
              <w:spacing w:after="0" w:line="240" w:lineRule="auto"/>
              <w:jc w:val="center"/>
              <w:textAlignment w:val="center"/>
              <w:rPr>
                <w:rFonts w:ascii="Times New Roman" w:hAnsi="Times New Roman" w:eastAsia="宋体" w:cs="Times New Roman"/>
                <w:bCs/>
                <w:sz w:val="21"/>
                <w:szCs w:val="21"/>
                <w14:ligatures w14:val="none"/>
              </w:rPr>
            </w:pPr>
            <w:r>
              <w:rPr>
                <w:rFonts w:ascii="Times New Roman" w:hAnsi="Times New Roman" w:eastAsia="宋体" w:cs="Times New Roman"/>
                <w:bCs/>
                <w:kern w:val="0"/>
                <w:sz w:val="21"/>
                <w:szCs w:val="21"/>
                <w:lang w:bidi="ar"/>
                <w14:ligatures w14:val="none"/>
              </w:rPr>
              <w:t>超限次数</w:t>
            </w:r>
          </w:p>
        </w:tc>
      </w:tr>
      <w:tr w14:paraId="01EF5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single" w:color="000000" w:sz="4" w:space="0"/>
              <w:left w:val="nil"/>
              <w:bottom w:val="nil"/>
              <w:right w:val="nil"/>
            </w:tcBorders>
            <w:shd w:val="clear" w:color="auto" w:fill="FFFFFF"/>
            <w:vAlign w:val="center"/>
          </w:tcPr>
          <w:p w14:paraId="6689F31D">
            <w:pPr>
              <w:widowControl/>
              <w:spacing w:after="0" w:line="240" w:lineRule="auto"/>
              <w:jc w:val="center"/>
              <w:textAlignment w:val="center"/>
              <w:rPr>
                <w:rFonts w:ascii="Times New Roman" w:hAnsi="Times New Roman" w:eastAsia="宋体" w:cs="Times New Roman"/>
                <w:sz w:val="18"/>
                <w:szCs w:val="18"/>
                <w14:ligatures w14:val="none"/>
              </w:rPr>
            </w:pPr>
            <w:r>
              <w:rPr>
                <w:rFonts w:hint="eastAsia" w:ascii="Times New Roman" w:hAnsi="Times New Roman" w:eastAsia="宋体" w:cs="Times New Roman"/>
                <w:sz w:val="18"/>
                <w:szCs w:val="18"/>
                <w14:ligatures w14:val="none"/>
              </w:rPr>
              <w:t>拉伸强度，</w:t>
            </w:r>
          </w:p>
        </w:tc>
        <w:tc>
          <w:tcPr>
            <w:tcW w:w="0" w:type="auto"/>
            <w:tcBorders>
              <w:top w:val="single" w:color="000000" w:sz="4" w:space="0"/>
              <w:left w:val="nil"/>
              <w:bottom w:val="nil"/>
              <w:right w:val="nil"/>
            </w:tcBorders>
            <w:shd w:val="clear" w:color="auto" w:fill="FFFFFF"/>
            <w:vAlign w:val="center"/>
          </w:tcPr>
          <w:p w14:paraId="55408AAE">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16.3</w:t>
            </w:r>
          </w:p>
        </w:tc>
        <w:tc>
          <w:tcPr>
            <w:tcW w:w="0" w:type="auto"/>
            <w:tcBorders>
              <w:top w:val="single" w:color="000000" w:sz="4" w:space="0"/>
              <w:left w:val="nil"/>
              <w:bottom w:val="nil"/>
              <w:right w:val="nil"/>
            </w:tcBorders>
            <w:shd w:val="clear" w:color="auto" w:fill="FFFFFF"/>
            <w:vAlign w:val="center"/>
          </w:tcPr>
          <w:p w14:paraId="28152BAD">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25.2</w:t>
            </w:r>
          </w:p>
        </w:tc>
        <w:tc>
          <w:tcPr>
            <w:tcW w:w="0" w:type="auto"/>
            <w:tcBorders>
              <w:top w:val="single" w:color="000000" w:sz="4" w:space="0"/>
              <w:left w:val="nil"/>
              <w:bottom w:val="nil"/>
              <w:right w:val="nil"/>
            </w:tcBorders>
            <w:shd w:val="clear" w:color="auto" w:fill="FFFFFF"/>
            <w:vAlign w:val="center"/>
          </w:tcPr>
          <w:p w14:paraId="4F3945FE">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22.7</w:t>
            </w:r>
          </w:p>
        </w:tc>
        <w:tc>
          <w:tcPr>
            <w:tcW w:w="0" w:type="auto"/>
            <w:tcBorders>
              <w:top w:val="single" w:color="000000" w:sz="4" w:space="0"/>
              <w:left w:val="nil"/>
              <w:bottom w:val="nil"/>
              <w:right w:val="nil"/>
            </w:tcBorders>
            <w:shd w:val="clear" w:color="auto" w:fill="FFFFFF"/>
            <w:vAlign w:val="center"/>
          </w:tcPr>
          <w:p w14:paraId="633EF950">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kern w:val="0"/>
                <w:sz w:val="21"/>
                <w:szCs w:val="21"/>
                <w:lang w:bidi="ar"/>
                <w14:ligatures w14:val="none"/>
              </w:rPr>
              <w:t>0</w:t>
            </w:r>
          </w:p>
        </w:tc>
      </w:tr>
      <w:tr w14:paraId="0E4C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center"/>
          </w:tcPr>
          <w:p w14:paraId="56B53244">
            <w:pPr>
              <w:spacing w:after="0" w:line="240" w:lineRule="auto"/>
              <w:jc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*拉断伸长率</w:t>
            </w:r>
            <w:r>
              <w:rPr>
                <w:rFonts w:ascii="宋体" w:hAnsi="宋体" w:eastAsia="宋体" w:cs="Times New Roman"/>
                <w:sz w:val="18"/>
                <w:szCs w:val="18"/>
                <w14:ligatures w14:val="none"/>
              </w:rPr>
              <w:t>，％</w:t>
            </w:r>
          </w:p>
        </w:tc>
        <w:tc>
          <w:tcPr>
            <w:tcW w:w="0" w:type="auto"/>
            <w:tcBorders>
              <w:top w:val="nil"/>
              <w:left w:val="nil"/>
              <w:bottom w:val="nil"/>
              <w:right w:val="nil"/>
            </w:tcBorders>
            <w:shd w:val="clear" w:color="auto" w:fill="FFFFFF"/>
            <w:vAlign w:val="center"/>
          </w:tcPr>
          <w:p w14:paraId="0056464F">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600</w:t>
            </w:r>
          </w:p>
        </w:tc>
        <w:tc>
          <w:tcPr>
            <w:tcW w:w="0" w:type="auto"/>
            <w:tcBorders>
              <w:top w:val="nil"/>
              <w:left w:val="nil"/>
              <w:bottom w:val="nil"/>
              <w:right w:val="nil"/>
            </w:tcBorders>
            <w:shd w:val="clear" w:color="auto" w:fill="FFFFFF"/>
            <w:vAlign w:val="center"/>
          </w:tcPr>
          <w:p w14:paraId="08D3E286">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717</w:t>
            </w:r>
          </w:p>
        </w:tc>
        <w:tc>
          <w:tcPr>
            <w:tcW w:w="0" w:type="auto"/>
            <w:tcBorders>
              <w:top w:val="nil"/>
              <w:left w:val="nil"/>
              <w:bottom w:val="nil"/>
              <w:right w:val="nil"/>
            </w:tcBorders>
            <w:shd w:val="clear" w:color="auto" w:fill="FFFFFF"/>
            <w:vAlign w:val="center"/>
          </w:tcPr>
          <w:p w14:paraId="43A5ED65">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667</w:t>
            </w:r>
          </w:p>
        </w:tc>
        <w:tc>
          <w:tcPr>
            <w:tcW w:w="0" w:type="auto"/>
            <w:tcBorders>
              <w:top w:val="nil"/>
              <w:left w:val="nil"/>
              <w:bottom w:val="nil"/>
              <w:right w:val="nil"/>
            </w:tcBorders>
            <w:shd w:val="clear" w:color="auto" w:fill="FFFFFF"/>
            <w:vAlign w:val="center"/>
          </w:tcPr>
          <w:p w14:paraId="4F91252E">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w:t>
            </w:r>
          </w:p>
        </w:tc>
      </w:tr>
      <w:tr w14:paraId="12BE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center"/>
          </w:tcPr>
          <w:p w14:paraId="1DCE6E9E">
            <w:pPr>
              <w:spacing w:after="0" w:line="240" w:lineRule="auto"/>
              <w:jc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*硬度</w:t>
            </w:r>
            <w:r>
              <w:rPr>
                <w:rFonts w:ascii="宋体" w:hAnsi="宋体" w:eastAsia="宋体" w:cs="Times New Roman"/>
                <w:sz w:val="18"/>
                <w:szCs w:val="18"/>
                <w14:ligatures w14:val="none"/>
              </w:rPr>
              <w:t>，邵尔</w:t>
            </w:r>
            <w:r>
              <w:rPr>
                <w:rFonts w:hint="eastAsia" w:ascii="宋体" w:hAnsi="宋体" w:eastAsia="宋体" w:cs="Times New Roman"/>
                <w:sz w:val="18"/>
                <w:szCs w:val="18"/>
                <w14:ligatures w14:val="none"/>
              </w:rPr>
              <w:t>A型</w:t>
            </w:r>
          </w:p>
        </w:tc>
        <w:tc>
          <w:tcPr>
            <w:tcW w:w="0" w:type="auto"/>
            <w:tcBorders>
              <w:top w:val="nil"/>
              <w:left w:val="nil"/>
              <w:bottom w:val="nil"/>
              <w:right w:val="nil"/>
            </w:tcBorders>
            <w:shd w:val="clear" w:color="auto" w:fill="FFFFFF"/>
            <w:vAlign w:val="center"/>
          </w:tcPr>
          <w:p w14:paraId="13766FE7">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44</w:t>
            </w:r>
          </w:p>
        </w:tc>
        <w:tc>
          <w:tcPr>
            <w:tcW w:w="0" w:type="auto"/>
            <w:tcBorders>
              <w:top w:val="nil"/>
              <w:left w:val="nil"/>
              <w:bottom w:val="nil"/>
              <w:right w:val="nil"/>
            </w:tcBorders>
            <w:shd w:val="clear" w:color="auto" w:fill="FFFFFF"/>
            <w:vAlign w:val="center"/>
          </w:tcPr>
          <w:p w14:paraId="41AFB5DA">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46</w:t>
            </w:r>
          </w:p>
        </w:tc>
        <w:tc>
          <w:tcPr>
            <w:tcW w:w="0" w:type="auto"/>
            <w:tcBorders>
              <w:top w:val="nil"/>
              <w:left w:val="nil"/>
              <w:bottom w:val="nil"/>
              <w:right w:val="nil"/>
            </w:tcBorders>
            <w:shd w:val="clear" w:color="auto" w:fill="FFFFFF"/>
            <w:vAlign w:val="center"/>
          </w:tcPr>
          <w:p w14:paraId="0CE04A3C">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45</w:t>
            </w:r>
          </w:p>
        </w:tc>
        <w:tc>
          <w:tcPr>
            <w:tcW w:w="0" w:type="auto"/>
            <w:tcBorders>
              <w:top w:val="nil"/>
              <w:left w:val="nil"/>
              <w:bottom w:val="nil"/>
              <w:right w:val="nil"/>
            </w:tcBorders>
            <w:shd w:val="clear" w:color="auto" w:fill="FFFFFF"/>
            <w:vAlign w:val="center"/>
          </w:tcPr>
          <w:p w14:paraId="138C91B4">
            <w:pPr>
              <w:widowControl/>
              <w:spacing w:after="0" w:line="240" w:lineRule="auto"/>
              <w:jc w:val="center"/>
              <w:textAlignment w:val="center"/>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0</w:t>
            </w:r>
          </w:p>
        </w:tc>
      </w:tr>
      <w:tr w14:paraId="32AD4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center"/>
          </w:tcPr>
          <w:p w14:paraId="0A063A2D">
            <w:pPr>
              <w:spacing w:after="0" w:line="240" w:lineRule="auto"/>
              <w:jc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撕裂强度，</w:t>
            </w:r>
            <w:r>
              <w:rPr>
                <w:rFonts w:ascii="宋体" w:hAnsi="宋体" w:eastAsia="宋体" w:cs="Times New Roman"/>
                <w:sz w:val="18"/>
                <w:szCs w:val="18"/>
                <w14:ligatures w14:val="none"/>
              </w:rPr>
              <w:t>kN</w:t>
            </w:r>
            <w:r>
              <w:rPr>
                <w:rFonts w:hint="eastAsia" w:ascii="宋体" w:hAnsi="宋体" w:eastAsia="宋体" w:cs="Times New Roman"/>
                <w:sz w:val="18"/>
                <w:szCs w:val="18"/>
                <w14:ligatures w14:val="none"/>
              </w:rPr>
              <w:t>/</w:t>
            </w:r>
            <w:r>
              <w:rPr>
                <w:rFonts w:ascii="宋体" w:hAnsi="宋体" w:eastAsia="宋体" w:cs="Times New Roman"/>
                <w:sz w:val="18"/>
                <w:szCs w:val="18"/>
                <w14:ligatures w14:val="none"/>
              </w:rPr>
              <w:t>m</w:t>
            </w:r>
          </w:p>
        </w:tc>
        <w:tc>
          <w:tcPr>
            <w:tcW w:w="0" w:type="auto"/>
            <w:tcBorders>
              <w:top w:val="nil"/>
              <w:left w:val="nil"/>
              <w:bottom w:val="nil"/>
              <w:right w:val="nil"/>
            </w:tcBorders>
            <w:shd w:val="clear" w:color="auto" w:fill="FFFFFF"/>
            <w:vAlign w:val="center"/>
          </w:tcPr>
          <w:p w14:paraId="2BF2967B">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32</w:t>
            </w:r>
          </w:p>
        </w:tc>
        <w:tc>
          <w:tcPr>
            <w:tcW w:w="0" w:type="auto"/>
            <w:tcBorders>
              <w:top w:val="nil"/>
              <w:left w:val="nil"/>
              <w:bottom w:val="nil"/>
              <w:right w:val="nil"/>
            </w:tcBorders>
            <w:shd w:val="clear" w:color="auto" w:fill="FFFFFF"/>
            <w:vAlign w:val="center"/>
          </w:tcPr>
          <w:p w14:paraId="1483C720">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38</w:t>
            </w:r>
          </w:p>
        </w:tc>
        <w:tc>
          <w:tcPr>
            <w:tcW w:w="0" w:type="auto"/>
            <w:tcBorders>
              <w:top w:val="nil"/>
              <w:left w:val="nil"/>
              <w:bottom w:val="nil"/>
              <w:right w:val="nil"/>
            </w:tcBorders>
            <w:shd w:val="clear" w:color="auto" w:fill="FFFFFF"/>
            <w:vAlign w:val="center"/>
          </w:tcPr>
          <w:p w14:paraId="1E7AD35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34</w:t>
            </w:r>
          </w:p>
        </w:tc>
        <w:tc>
          <w:tcPr>
            <w:tcW w:w="0" w:type="auto"/>
            <w:tcBorders>
              <w:top w:val="nil"/>
              <w:left w:val="nil"/>
              <w:bottom w:val="nil"/>
              <w:right w:val="nil"/>
            </w:tcBorders>
            <w:shd w:val="clear" w:color="auto" w:fill="FFFFFF"/>
            <w:vAlign w:val="center"/>
          </w:tcPr>
          <w:p w14:paraId="6909A935">
            <w:pPr>
              <w:widowControl/>
              <w:spacing w:after="0" w:line="240" w:lineRule="auto"/>
              <w:jc w:val="center"/>
              <w:textAlignment w:val="center"/>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2</w:t>
            </w:r>
          </w:p>
        </w:tc>
      </w:tr>
      <w:tr w14:paraId="51764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center"/>
          </w:tcPr>
          <w:p w14:paraId="3D90070C">
            <w:pPr>
              <w:spacing w:after="0" w:line="240" w:lineRule="auto"/>
              <w:jc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压缩</w:t>
            </w:r>
            <w:r>
              <w:rPr>
                <w:rFonts w:ascii="宋体" w:hAnsi="宋体" w:eastAsia="宋体" w:cs="Times New Roman"/>
                <w:sz w:val="18"/>
                <w:szCs w:val="18"/>
                <w14:ligatures w14:val="none"/>
              </w:rPr>
              <w:t>生热，℃</w:t>
            </w:r>
          </w:p>
        </w:tc>
        <w:tc>
          <w:tcPr>
            <w:tcW w:w="0" w:type="auto"/>
            <w:tcBorders>
              <w:top w:val="nil"/>
              <w:left w:val="nil"/>
              <w:bottom w:val="nil"/>
              <w:right w:val="nil"/>
            </w:tcBorders>
            <w:shd w:val="clear" w:color="auto" w:fill="FFFFFF"/>
            <w:vAlign w:val="center"/>
          </w:tcPr>
          <w:p w14:paraId="596B3E4F">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22</w:t>
            </w:r>
          </w:p>
        </w:tc>
        <w:tc>
          <w:tcPr>
            <w:tcW w:w="0" w:type="auto"/>
            <w:tcBorders>
              <w:top w:val="nil"/>
              <w:left w:val="nil"/>
              <w:bottom w:val="nil"/>
              <w:right w:val="nil"/>
            </w:tcBorders>
            <w:shd w:val="clear" w:color="auto" w:fill="FFFFFF"/>
            <w:vAlign w:val="center"/>
          </w:tcPr>
          <w:p w14:paraId="02424C9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34</w:t>
            </w:r>
          </w:p>
        </w:tc>
        <w:tc>
          <w:tcPr>
            <w:tcW w:w="0" w:type="auto"/>
            <w:tcBorders>
              <w:top w:val="nil"/>
              <w:left w:val="nil"/>
              <w:bottom w:val="nil"/>
              <w:right w:val="nil"/>
            </w:tcBorders>
            <w:shd w:val="clear" w:color="auto" w:fill="FFFFFF"/>
            <w:vAlign w:val="center"/>
          </w:tcPr>
          <w:p w14:paraId="448037C8">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28</w:t>
            </w:r>
          </w:p>
        </w:tc>
        <w:tc>
          <w:tcPr>
            <w:tcW w:w="0" w:type="auto"/>
            <w:tcBorders>
              <w:top w:val="nil"/>
              <w:left w:val="nil"/>
              <w:bottom w:val="nil"/>
              <w:right w:val="nil"/>
            </w:tcBorders>
            <w:shd w:val="clear" w:color="auto" w:fill="FFFFFF"/>
            <w:vAlign w:val="center"/>
          </w:tcPr>
          <w:p w14:paraId="05E8DD16">
            <w:pPr>
              <w:widowControl/>
              <w:spacing w:after="0" w:line="240" w:lineRule="auto"/>
              <w:jc w:val="center"/>
              <w:textAlignment w:val="center"/>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0</w:t>
            </w:r>
          </w:p>
        </w:tc>
      </w:tr>
      <w:tr w14:paraId="5A922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center"/>
          </w:tcPr>
          <w:p w14:paraId="42BE2A25">
            <w:pPr>
              <w:spacing w:after="0" w:line="240" w:lineRule="auto"/>
              <w:jc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*塑性</w:t>
            </w:r>
            <w:r>
              <w:rPr>
                <w:rFonts w:ascii="宋体" w:hAnsi="宋体" w:eastAsia="宋体" w:cs="Times New Roman"/>
                <w:sz w:val="18"/>
                <w:szCs w:val="18"/>
                <w14:ligatures w14:val="none"/>
              </w:rPr>
              <w:t>初值</w:t>
            </w:r>
            <w:r>
              <w:rPr>
                <w:rFonts w:hint="eastAsia" w:ascii="宋体" w:hAnsi="宋体" w:eastAsia="宋体" w:cs="Times New Roman"/>
                <w:sz w:val="18"/>
                <w:szCs w:val="18"/>
                <w14:ligatures w14:val="none"/>
              </w:rPr>
              <w:t>（P</w:t>
            </w:r>
            <w:r>
              <w:rPr>
                <w:rFonts w:hint="eastAsia" w:ascii="宋体" w:hAnsi="宋体" w:eastAsia="宋体" w:cs="Times New Roman"/>
                <w:sz w:val="18"/>
                <w:szCs w:val="18"/>
                <w:vertAlign w:val="subscript"/>
                <w14:ligatures w14:val="none"/>
              </w:rPr>
              <w:t>0</w:t>
            </w:r>
            <w:r>
              <w:rPr>
                <w:rFonts w:hint="eastAsia" w:ascii="宋体" w:hAnsi="宋体" w:eastAsia="宋体" w:cs="Times New Roman"/>
                <w:sz w:val="18"/>
                <w:szCs w:val="18"/>
                <w14:ligatures w14:val="none"/>
              </w:rPr>
              <w:t>）</w:t>
            </w:r>
          </w:p>
        </w:tc>
        <w:tc>
          <w:tcPr>
            <w:tcW w:w="0" w:type="auto"/>
            <w:tcBorders>
              <w:top w:val="nil"/>
              <w:left w:val="nil"/>
              <w:bottom w:val="nil"/>
              <w:right w:val="nil"/>
            </w:tcBorders>
            <w:shd w:val="clear" w:color="auto" w:fill="FFFFFF"/>
            <w:vAlign w:val="center"/>
          </w:tcPr>
          <w:p w14:paraId="14639DB1">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30</w:t>
            </w:r>
          </w:p>
        </w:tc>
        <w:tc>
          <w:tcPr>
            <w:tcW w:w="0" w:type="auto"/>
            <w:tcBorders>
              <w:top w:val="nil"/>
              <w:left w:val="nil"/>
              <w:bottom w:val="nil"/>
              <w:right w:val="nil"/>
            </w:tcBorders>
            <w:shd w:val="clear" w:color="auto" w:fill="FFFFFF"/>
            <w:vAlign w:val="center"/>
          </w:tcPr>
          <w:p w14:paraId="4CA5576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55.5</w:t>
            </w:r>
          </w:p>
        </w:tc>
        <w:tc>
          <w:tcPr>
            <w:tcW w:w="0" w:type="auto"/>
            <w:tcBorders>
              <w:top w:val="nil"/>
              <w:left w:val="nil"/>
              <w:bottom w:val="nil"/>
              <w:right w:val="nil"/>
            </w:tcBorders>
            <w:shd w:val="clear" w:color="auto" w:fill="FFFFFF"/>
            <w:vAlign w:val="center"/>
          </w:tcPr>
          <w:p w14:paraId="7E161A66">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46.5</w:t>
            </w:r>
          </w:p>
        </w:tc>
        <w:tc>
          <w:tcPr>
            <w:tcW w:w="0" w:type="auto"/>
            <w:tcBorders>
              <w:top w:val="nil"/>
              <w:left w:val="nil"/>
              <w:bottom w:val="nil"/>
              <w:right w:val="nil"/>
            </w:tcBorders>
            <w:shd w:val="clear" w:color="auto" w:fill="FFFFFF"/>
            <w:vAlign w:val="center"/>
          </w:tcPr>
          <w:p w14:paraId="30FFA60E">
            <w:pPr>
              <w:widowControl/>
              <w:spacing w:after="0" w:line="240" w:lineRule="auto"/>
              <w:jc w:val="center"/>
              <w:textAlignment w:val="center"/>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0</w:t>
            </w:r>
          </w:p>
        </w:tc>
      </w:tr>
      <w:tr w14:paraId="02629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vAlign w:val="center"/>
          </w:tcPr>
          <w:p w14:paraId="34453EA3">
            <w:pPr>
              <w:spacing w:after="0" w:line="240" w:lineRule="auto"/>
              <w:jc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*塑性</w:t>
            </w:r>
            <w:r>
              <w:rPr>
                <w:rFonts w:ascii="宋体" w:hAnsi="宋体" w:eastAsia="宋体" w:cs="Times New Roman"/>
                <w:sz w:val="18"/>
                <w:szCs w:val="18"/>
                <w14:ligatures w14:val="none"/>
              </w:rPr>
              <w:t>保持率</w:t>
            </w:r>
            <w:r>
              <w:rPr>
                <w:rFonts w:hint="eastAsia" w:ascii="宋体" w:hAnsi="宋体" w:eastAsia="宋体" w:cs="Times New Roman"/>
                <w:sz w:val="18"/>
                <w:szCs w:val="18"/>
                <w14:ligatures w14:val="none"/>
              </w:rPr>
              <w:t>（PRI）</w:t>
            </w:r>
          </w:p>
        </w:tc>
        <w:tc>
          <w:tcPr>
            <w:tcW w:w="0" w:type="auto"/>
            <w:tcBorders>
              <w:top w:val="nil"/>
              <w:left w:val="nil"/>
              <w:bottom w:val="nil"/>
              <w:right w:val="nil"/>
            </w:tcBorders>
            <w:shd w:val="clear" w:color="auto" w:fill="FFFFFF"/>
            <w:vAlign w:val="center"/>
          </w:tcPr>
          <w:p w14:paraId="5F80CA81">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40</w:t>
            </w:r>
          </w:p>
        </w:tc>
        <w:tc>
          <w:tcPr>
            <w:tcW w:w="0" w:type="auto"/>
            <w:tcBorders>
              <w:top w:val="nil"/>
              <w:left w:val="nil"/>
              <w:bottom w:val="nil"/>
              <w:right w:val="nil"/>
            </w:tcBorders>
            <w:shd w:val="clear" w:color="auto" w:fill="FFFFFF"/>
            <w:vAlign w:val="center"/>
          </w:tcPr>
          <w:p w14:paraId="6AE5A827">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66.5</w:t>
            </w:r>
          </w:p>
        </w:tc>
        <w:tc>
          <w:tcPr>
            <w:tcW w:w="0" w:type="auto"/>
            <w:tcBorders>
              <w:top w:val="nil"/>
              <w:left w:val="nil"/>
              <w:bottom w:val="nil"/>
              <w:right w:val="nil"/>
            </w:tcBorders>
            <w:shd w:val="clear" w:color="auto" w:fill="FFFFFF"/>
            <w:vAlign w:val="center"/>
          </w:tcPr>
          <w:p w14:paraId="0770D296">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53</w:t>
            </w:r>
          </w:p>
        </w:tc>
        <w:tc>
          <w:tcPr>
            <w:tcW w:w="0" w:type="auto"/>
            <w:tcBorders>
              <w:top w:val="nil"/>
              <w:left w:val="nil"/>
              <w:bottom w:val="nil"/>
              <w:right w:val="nil"/>
            </w:tcBorders>
            <w:shd w:val="clear" w:color="auto" w:fill="FFFFFF"/>
            <w:vAlign w:val="center"/>
          </w:tcPr>
          <w:p w14:paraId="0E4B860F">
            <w:pPr>
              <w:widowControl/>
              <w:spacing w:after="0" w:line="240" w:lineRule="auto"/>
              <w:jc w:val="center"/>
              <w:textAlignment w:val="center"/>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0</w:t>
            </w:r>
          </w:p>
        </w:tc>
      </w:tr>
      <w:tr w14:paraId="19E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vAlign w:val="center"/>
          </w:tcPr>
          <w:p w14:paraId="1C659A0A">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宋体" w:hAnsi="宋体" w:eastAsia="宋体" w:cs="Times New Roman"/>
                <w:sz w:val="18"/>
                <w:szCs w:val="18"/>
                <w14:ligatures w14:val="none"/>
              </w:rPr>
              <w:t>门尼粘度，ML</w:t>
            </w:r>
            <w:r>
              <w:rPr>
                <w:rFonts w:ascii="宋体" w:hAnsi="宋体" w:eastAsia="宋体" w:cs="Times New Roman"/>
                <w:sz w:val="18"/>
                <w:szCs w:val="18"/>
                <w:vertAlign w:val="superscript"/>
                <w14:ligatures w14:val="none"/>
              </w:rPr>
              <w:t>100℃</w:t>
            </w:r>
            <w:r>
              <w:rPr>
                <w:rFonts w:ascii="宋体" w:hAnsi="宋体" w:eastAsia="宋体" w:cs="Times New Roman"/>
                <w:sz w:val="18"/>
                <w:szCs w:val="18"/>
                <w:vertAlign w:val="subscript"/>
                <w14:ligatures w14:val="none"/>
              </w:rPr>
              <w:t>1+4</w:t>
            </w:r>
          </w:p>
        </w:tc>
        <w:tc>
          <w:tcPr>
            <w:tcW w:w="0" w:type="auto"/>
            <w:tcBorders>
              <w:top w:val="nil"/>
              <w:left w:val="nil"/>
              <w:bottom w:val="nil"/>
              <w:right w:val="nil"/>
            </w:tcBorders>
            <w:shd w:val="clear" w:color="auto" w:fill="FFFFFF"/>
            <w:vAlign w:val="center"/>
          </w:tcPr>
          <w:p w14:paraId="00D3399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68</w:t>
            </w:r>
          </w:p>
        </w:tc>
        <w:tc>
          <w:tcPr>
            <w:tcW w:w="0" w:type="auto"/>
            <w:tcBorders>
              <w:top w:val="nil"/>
              <w:left w:val="nil"/>
              <w:bottom w:val="nil"/>
              <w:right w:val="nil"/>
            </w:tcBorders>
            <w:shd w:val="clear" w:color="auto" w:fill="FFFFFF"/>
            <w:vAlign w:val="center"/>
          </w:tcPr>
          <w:p w14:paraId="4254488A">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94</w:t>
            </w:r>
          </w:p>
        </w:tc>
        <w:tc>
          <w:tcPr>
            <w:tcW w:w="0" w:type="auto"/>
            <w:tcBorders>
              <w:top w:val="nil"/>
              <w:left w:val="nil"/>
              <w:bottom w:val="nil"/>
              <w:right w:val="nil"/>
            </w:tcBorders>
            <w:shd w:val="clear" w:color="auto" w:fill="FFFFFF"/>
            <w:vAlign w:val="center"/>
          </w:tcPr>
          <w:p w14:paraId="366FC04F">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79</w:t>
            </w:r>
          </w:p>
        </w:tc>
        <w:tc>
          <w:tcPr>
            <w:tcW w:w="0" w:type="auto"/>
            <w:tcBorders>
              <w:top w:val="nil"/>
              <w:left w:val="nil"/>
              <w:bottom w:val="nil"/>
              <w:right w:val="nil"/>
            </w:tcBorders>
            <w:shd w:val="clear" w:color="auto" w:fill="FFFFFF"/>
            <w:vAlign w:val="center"/>
          </w:tcPr>
          <w:p w14:paraId="78316466">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w:t>
            </w:r>
          </w:p>
        </w:tc>
      </w:tr>
      <w:tr w14:paraId="0BFE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vAlign w:val="center"/>
          </w:tcPr>
          <w:p w14:paraId="3096C72A">
            <w:pPr>
              <w:widowControl/>
              <w:spacing w:after="0" w:line="240" w:lineRule="auto"/>
              <w:jc w:val="center"/>
              <w:textAlignment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回弹值</w:t>
            </w:r>
            <w:r>
              <w:rPr>
                <w:rFonts w:ascii="宋体" w:hAnsi="宋体" w:eastAsia="宋体" w:cs="Times New Roman"/>
                <w:sz w:val="18"/>
                <w:szCs w:val="18"/>
                <w14:ligatures w14:val="none"/>
              </w:rPr>
              <w:t>，％</w:t>
            </w:r>
          </w:p>
        </w:tc>
        <w:tc>
          <w:tcPr>
            <w:tcW w:w="0" w:type="auto"/>
            <w:tcBorders>
              <w:top w:val="nil"/>
              <w:left w:val="nil"/>
              <w:bottom w:val="nil"/>
              <w:right w:val="nil"/>
            </w:tcBorders>
            <w:shd w:val="clear" w:color="auto" w:fill="FFFFFF"/>
            <w:vAlign w:val="center"/>
          </w:tcPr>
          <w:p w14:paraId="236364DC">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53</w:t>
            </w:r>
          </w:p>
        </w:tc>
        <w:tc>
          <w:tcPr>
            <w:tcW w:w="0" w:type="auto"/>
            <w:tcBorders>
              <w:top w:val="nil"/>
              <w:left w:val="nil"/>
              <w:bottom w:val="nil"/>
              <w:right w:val="nil"/>
            </w:tcBorders>
            <w:shd w:val="clear" w:color="auto" w:fill="FFFFFF"/>
            <w:vAlign w:val="center"/>
          </w:tcPr>
          <w:p w14:paraId="37211427">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73</w:t>
            </w:r>
          </w:p>
        </w:tc>
        <w:tc>
          <w:tcPr>
            <w:tcW w:w="0" w:type="auto"/>
            <w:tcBorders>
              <w:top w:val="nil"/>
              <w:left w:val="nil"/>
              <w:bottom w:val="nil"/>
              <w:right w:val="nil"/>
            </w:tcBorders>
            <w:shd w:val="clear" w:color="auto" w:fill="FFFFFF"/>
            <w:vAlign w:val="center"/>
          </w:tcPr>
          <w:p w14:paraId="0B0EF9E8">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68</w:t>
            </w:r>
          </w:p>
        </w:tc>
        <w:tc>
          <w:tcPr>
            <w:tcW w:w="0" w:type="auto"/>
            <w:tcBorders>
              <w:top w:val="nil"/>
              <w:left w:val="nil"/>
              <w:bottom w:val="nil"/>
              <w:right w:val="nil"/>
            </w:tcBorders>
            <w:shd w:val="clear" w:color="auto" w:fill="FFFFFF"/>
            <w:vAlign w:val="center"/>
          </w:tcPr>
          <w:p w14:paraId="5895F5AC">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w:t>
            </w:r>
          </w:p>
        </w:tc>
      </w:tr>
      <w:tr w14:paraId="0F96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vAlign w:val="center"/>
          </w:tcPr>
          <w:p w14:paraId="69F64F24">
            <w:pPr>
              <w:widowControl/>
              <w:spacing w:after="0" w:line="240" w:lineRule="auto"/>
              <w:jc w:val="center"/>
              <w:textAlignment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压缩永久变形，%</w:t>
            </w:r>
          </w:p>
        </w:tc>
        <w:tc>
          <w:tcPr>
            <w:tcW w:w="0" w:type="auto"/>
            <w:tcBorders>
              <w:top w:val="nil"/>
              <w:left w:val="nil"/>
              <w:bottom w:val="nil"/>
              <w:right w:val="nil"/>
            </w:tcBorders>
            <w:shd w:val="clear" w:color="auto" w:fill="FFFFFF"/>
            <w:vAlign w:val="center"/>
          </w:tcPr>
          <w:p w14:paraId="2946FD6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22</w:t>
            </w:r>
          </w:p>
        </w:tc>
        <w:tc>
          <w:tcPr>
            <w:tcW w:w="0" w:type="auto"/>
            <w:tcBorders>
              <w:top w:val="nil"/>
              <w:left w:val="nil"/>
              <w:bottom w:val="nil"/>
              <w:right w:val="nil"/>
            </w:tcBorders>
            <w:shd w:val="clear" w:color="auto" w:fill="FFFFFF"/>
            <w:vAlign w:val="center"/>
          </w:tcPr>
          <w:p w14:paraId="2373624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28</w:t>
            </w:r>
          </w:p>
        </w:tc>
        <w:tc>
          <w:tcPr>
            <w:tcW w:w="0" w:type="auto"/>
            <w:tcBorders>
              <w:top w:val="nil"/>
              <w:left w:val="nil"/>
              <w:bottom w:val="nil"/>
              <w:right w:val="nil"/>
            </w:tcBorders>
            <w:shd w:val="clear" w:color="auto" w:fill="FFFFFF"/>
            <w:vAlign w:val="center"/>
          </w:tcPr>
          <w:p w14:paraId="1C8D46A9">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24</w:t>
            </w:r>
          </w:p>
        </w:tc>
        <w:tc>
          <w:tcPr>
            <w:tcW w:w="0" w:type="auto"/>
            <w:tcBorders>
              <w:top w:val="nil"/>
              <w:left w:val="nil"/>
              <w:bottom w:val="nil"/>
              <w:right w:val="nil"/>
            </w:tcBorders>
            <w:shd w:val="clear" w:color="auto" w:fill="FFFFFF"/>
            <w:vAlign w:val="center"/>
          </w:tcPr>
          <w:p w14:paraId="72DC7C36">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w:t>
            </w:r>
          </w:p>
        </w:tc>
      </w:tr>
      <w:tr w14:paraId="1C9B9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vAlign w:val="center"/>
          </w:tcPr>
          <w:p w14:paraId="2F6A354D">
            <w:pPr>
              <w:widowControl/>
              <w:spacing w:after="0" w:line="240" w:lineRule="auto"/>
              <w:jc w:val="center"/>
              <w:textAlignment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阿克隆磨耗/cm</w:t>
            </w:r>
            <w:r>
              <w:rPr>
                <w:rFonts w:hint="eastAsia" w:ascii="宋体" w:hAnsi="宋体" w:eastAsia="宋体" w:cs="Times New Roman"/>
                <w:sz w:val="18"/>
                <w:szCs w:val="18"/>
                <w:vertAlign w:val="superscript"/>
                <w14:ligatures w14:val="none"/>
              </w:rPr>
              <w:t>3</w:t>
            </w:r>
          </w:p>
        </w:tc>
        <w:tc>
          <w:tcPr>
            <w:tcW w:w="0" w:type="auto"/>
            <w:tcBorders>
              <w:top w:val="nil"/>
              <w:left w:val="nil"/>
              <w:bottom w:val="nil"/>
              <w:right w:val="nil"/>
            </w:tcBorders>
            <w:shd w:val="clear" w:color="auto" w:fill="FFFFFF"/>
            <w:vAlign w:val="center"/>
          </w:tcPr>
          <w:p w14:paraId="188B9887">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0.22</w:t>
            </w:r>
          </w:p>
        </w:tc>
        <w:tc>
          <w:tcPr>
            <w:tcW w:w="0" w:type="auto"/>
            <w:tcBorders>
              <w:top w:val="nil"/>
              <w:left w:val="nil"/>
              <w:bottom w:val="nil"/>
              <w:right w:val="nil"/>
            </w:tcBorders>
            <w:shd w:val="clear" w:color="auto" w:fill="FFFFFF"/>
            <w:vAlign w:val="center"/>
          </w:tcPr>
          <w:p w14:paraId="3E67267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0.26</w:t>
            </w:r>
          </w:p>
        </w:tc>
        <w:tc>
          <w:tcPr>
            <w:tcW w:w="0" w:type="auto"/>
            <w:tcBorders>
              <w:top w:val="nil"/>
              <w:left w:val="nil"/>
              <w:bottom w:val="nil"/>
              <w:right w:val="nil"/>
            </w:tcBorders>
            <w:shd w:val="clear" w:color="auto" w:fill="FFFFFF"/>
            <w:vAlign w:val="center"/>
          </w:tcPr>
          <w:p w14:paraId="163AAE1F">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0.24</w:t>
            </w:r>
          </w:p>
        </w:tc>
        <w:tc>
          <w:tcPr>
            <w:tcW w:w="0" w:type="auto"/>
            <w:tcBorders>
              <w:top w:val="nil"/>
              <w:left w:val="nil"/>
              <w:bottom w:val="nil"/>
              <w:right w:val="nil"/>
            </w:tcBorders>
            <w:shd w:val="clear" w:color="auto" w:fill="FFFFFF"/>
            <w:vAlign w:val="center"/>
          </w:tcPr>
          <w:p w14:paraId="64369268">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2</w:t>
            </w:r>
          </w:p>
        </w:tc>
      </w:tr>
      <w:tr w14:paraId="63C5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nil"/>
              <w:right w:val="nil"/>
            </w:tcBorders>
            <w:shd w:val="clear" w:color="auto" w:fill="FFFFFF"/>
            <w:vAlign w:val="center"/>
          </w:tcPr>
          <w:p w14:paraId="24035B1C">
            <w:pPr>
              <w:widowControl/>
              <w:spacing w:after="0" w:line="240" w:lineRule="auto"/>
              <w:jc w:val="center"/>
              <w:textAlignment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DIN磨耗/cm</w:t>
            </w:r>
            <w:r>
              <w:rPr>
                <w:rFonts w:hint="eastAsia" w:ascii="宋体" w:hAnsi="宋体" w:eastAsia="宋体" w:cs="Times New Roman"/>
                <w:sz w:val="18"/>
                <w:szCs w:val="18"/>
                <w:vertAlign w:val="superscript"/>
                <w14:ligatures w14:val="none"/>
              </w:rPr>
              <w:t>3</w:t>
            </w:r>
          </w:p>
        </w:tc>
        <w:tc>
          <w:tcPr>
            <w:tcW w:w="0" w:type="auto"/>
            <w:tcBorders>
              <w:top w:val="nil"/>
              <w:left w:val="nil"/>
              <w:bottom w:val="nil"/>
              <w:right w:val="nil"/>
            </w:tcBorders>
            <w:shd w:val="clear" w:color="auto" w:fill="FFFFFF"/>
            <w:vAlign w:val="center"/>
          </w:tcPr>
          <w:p w14:paraId="2FCAFE77">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0.048</w:t>
            </w:r>
          </w:p>
        </w:tc>
        <w:tc>
          <w:tcPr>
            <w:tcW w:w="0" w:type="auto"/>
            <w:tcBorders>
              <w:top w:val="nil"/>
              <w:left w:val="nil"/>
              <w:bottom w:val="nil"/>
              <w:right w:val="nil"/>
            </w:tcBorders>
            <w:shd w:val="clear" w:color="auto" w:fill="FFFFFF"/>
            <w:vAlign w:val="center"/>
          </w:tcPr>
          <w:p w14:paraId="1990F08A">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0.067</w:t>
            </w:r>
          </w:p>
        </w:tc>
        <w:tc>
          <w:tcPr>
            <w:tcW w:w="0" w:type="auto"/>
            <w:tcBorders>
              <w:top w:val="nil"/>
              <w:left w:val="nil"/>
              <w:bottom w:val="nil"/>
              <w:right w:val="nil"/>
            </w:tcBorders>
            <w:shd w:val="clear" w:color="auto" w:fill="FFFFFF"/>
            <w:vAlign w:val="center"/>
          </w:tcPr>
          <w:p w14:paraId="68689D08">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0.055</w:t>
            </w:r>
          </w:p>
        </w:tc>
        <w:tc>
          <w:tcPr>
            <w:tcW w:w="0" w:type="auto"/>
            <w:tcBorders>
              <w:top w:val="nil"/>
              <w:left w:val="nil"/>
              <w:bottom w:val="nil"/>
              <w:right w:val="nil"/>
            </w:tcBorders>
            <w:shd w:val="clear" w:color="auto" w:fill="FFFFFF"/>
            <w:vAlign w:val="center"/>
          </w:tcPr>
          <w:p w14:paraId="105D3BA0">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1</w:t>
            </w:r>
          </w:p>
        </w:tc>
      </w:tr>
      <w:tr w14:paraId="4513F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0" w:type="auto"/>
            <w:tcBorders>
              <w:top w:val="nil"/>
              <w:left w:val="nil"/>
              <w:bottom w:val="single" w:color="000000" w:sz="12" w:space="0"/>
              <w:right w:val="nil"/>
            </w:tcBorders>
            <w:shd w:val="clear" w:color="auto" w:fill="FFFFFF"/>
            <w:vAlign w:val="center"/>
          </w:tcPr>
          <w:p w14:paraId="1522C8F1">
            <w:pPr>
              <w:widowControl/>
              <w:spacing w:after="0" w:line="240" w:lineRule="auto"/>
              <w:jc w:val="center"/>
              <w:textAlignment w:val="center"/>
              <w:rPr>
                <w:rFonts w:hint="eastAsia" w:ascii="宋体" w:hAnsi="宋体" w:eastAsia="宋体" w:cs="Times New Roman"/>
                <w:sz w:val="18"/>
                <w:szCs w:val="18"/>
                <w14:ligatures w14:val="none"/>
              </w:rPr>
            </w:pPr>
            <w:r>
              <w:rPr>
                <w:rFonts w:hint="eastAsia" w:ascii="宋体" w:hAnsi="宋体" w:eastAsia="宋体" w:cs="Times New Roman"/>
                <w:sz w:val="18"/>
                <w:szCs w:val="18"/>
                <w14:ligatures w14:val="none"/>
              </w:rPr>
              <w:t>回弹值</w:t>
            </w:r>
            <w:r>
              <w:rPr>
                <w:rFonts w:ascii="宋体" w:hAnsi="宋体" w:eastAsia="宋体" w:cs="Times New Roman"/>
                <w:sz w:val="18"/>
                <w:szCs w:val="18"/>
                <w14:ligatures w14:val="none"/>
              </w:rPr>
              <w:t>，％</w:t>
            </w:r>
          </w:p>
        </w:tc>
        <w:tc>
          <w:tcPr>
            <w:tcW w:w="0" w:type="auto"/>
            <w:tcBorders>
              <w:top w:val="nil"/>
              <w:left w:val="nil"/>
              <w:bottom w:val="single" w:color="000000" w:sz="12" w:space="0"/>
              <w:right w:val="nil"/>
            </w:tcBorders>
            <w:shd w:val="clear" w:color="auto" w:fill="FFFFFF"/>
            <w:vAlign w:val="center"/>
          </w:tcPr>
          <w:p w14:paraId="72837D72">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53</w:t>
            </w:r>
          </w:p>
        </w:tc>
        <w:tc>
          <w:tcPr>
            <w:tcW w:w="0" w:type="auto"/>
            <w:tcBorders>
              <w:top w:val="nil"/>
              <w:left w:val="nil"/>
              <w:bottom w:val="single" w:color="000000" w:sz="12" w:space="0"/>
              <w:right w:val="nil"/>
            </w:tcBorders>
            <w:shd w:val="clear" w:color="auto" w:fill="FFFFFF"/>
            <w:vAlign w:val="center"/>
          </w:tcPr>
          <w:p w14:paraId="39706B96">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73</w:t>
            </w:r>
          </w:p>
        </w:tc>
        <w:tc>
          <w:tcPr>
            <w:tcW w:w="0" w:type="auto"/>
            <w:tcBorders>
              <w:top w:val="nil"/>
              <w:left w:val="nil"/>
              <w:bottom w:val="single" w:color="000000" w:sz="12" w:space="0"/>
              <w:right w:val="nil"/>
            </w:tcBorders>
            <w:shd w:val="clear" w:color="auto" w:fill="FFFFFF"/>
            <w:vAlign w:val="center"/>
          </w:tcPr>
          <w:p w14:paraId="28DC25FF">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68</w:t>
            </w:r>
          </w:p>
        </w:tc>
        <w:tc>
          <w:tcPr>
            <w:tcW w:w="0" w:type="auto"/>
            <w:tcBorders>
              <w:top w:val="nil"/>
              <w:left w:val="nil"/>
              <w:bottom w:val="single" w:color="000000" w:sz="12" w:space="0"/>
              <w:right w:val="nil"/>
            </w:tcBorders>
            <w:shd w:val="clear" w:color="auto" w:fill="FFFFFF"/>
            <w:vAlign w:val="center"/>
          </w:tcPr>
          <w:p w14:paraId="20AA6C93">
            <w:pPr>
              <w:widowControl/>
              <w:spacing w:after="0" w:line="240" w:lineRule="auto"/>
              <w:jc w:val="center"/>
              <w:textAlignment w:val="center"/>
              <w:rPr>
                <w:rFonts w:ascii="Times New Roman" w:hAnsi="Times New Roman" w:eastAsia="宋体" w:cs="Times New Roman"/>
                <w:sz w:val="21"/>
                <w:szCs w:val="21"/>
                <w14:ligatures w14:val="none"/>
              </w:rPr>
            </w:pPr>
            <w:r>
              <w:rPr>
                <w:rFonts w:hint="eastAsia" w:ascii="Times New Roman" w:hAnsi="Times New Roman" w:eastAsia="宋体" w:cs="Times New Roman"/>
                <w:sz w:val="21"/>
                <w:szCs w:val="21"/>
                <w14:ligatures w14:val="none"/>
              </w:rPr>
              <w:t>0</w:t>
            </w:r>
          </w:p>
        </w:tc>
      </w:tr>
    </w:tbl>
    <w:p w14:paraId="2A93E02B">
      <w:pPr>
        <w:spacing w:after="0" w:line="560" w:lineRule="exact"/>
        <w:jc w:val="both"/>
        <w:outlineLvl w:val="2"/>
        <w:rPr>
          <w:rFonts w:ascii="Times New Roman" w:hAnsi="Times New Roman" w:eastAsia="仿宋_GB2312" w:cs="Times New Roman"/>
          <w:sz w:val="32"/>
          <w14:ligatures w14:val="none"/>
        </w:rPr>
      </w:pPr>
    </w:p>
    <w:p w14:paraId="060BAA6A">
      <w:pPr>
        <w:numPr>
          <w:ilvl w:val="0"/>
          <w:numId w:val="4"/>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拉伸强度：现行标准中，GB/T8089-2007中拉伸强度规定指标最大，为“≥19.6MPa”，根据表5显示，将其技术要求提高至“≥15.0MPa”，重卡轮胎标准胶达标率为 97%，具有可行性。</w:t>
      </w:r>
    </w:p>
    <w:p w14:paraId="0895615A">
      <w:pPr>
        <w:numPr>
          <w:ilvl w:val="0"/>
          <w:numId w:val="4"/>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拉断伸长率、硬度、撕裂强度、压缩生热、压缩永久变形、阿克隆磨耗、DIN磨耗：现行标准没有对于天然胶的相关规定，本标准技术指标要求是根据重卡轮胎生产过程中天然胶原材料最低要求确定。根据表5显示，重卡轮胎标准胶各项指标达标率为98%以上，具有可行性。</w:t>
      </w:r>
    </w:p>
    <w:p w14:paraId="65C4800D">
      <w:pPr>
        <w:numPr>
          <w:ilvl w:val="0"/>
          <w:numId w:val="4"/>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塑性初值P</w:t>
      </w:r>
      <w:r>
        <w:rPr>
          <w:rFonts w:hint="eastAsia" w:ascii="Times New Roman" w:hAnsi="Times New Roman" w:eastAsia="仿宋_GB2312" w:cs="Times New Roman"/>
          <w:sz w:val="32"/>
          <w:vertAlign w:val="subscript"/>
          <w14:ligatures w14:val="none"/>
        </w:rPr>
        <w:t>0</w:t>
      </w:r>
      <w:r>
        <w:rPr>
          <w:rFonts w:hint="eastAsia" w:ascii="Times New Roman" w:hAnsi="Times New Roman" w:eastAsia="仿宋_GB2312" w:cs="Times New Roman"/>
          <w:sz w:val="32"/>
          <w14:ligatures w14:val="none"/>
        </w:rPr>
        <w:t>，塑性保持率PRI：现行标准中GB/T 8081-2008表准中有关于以上技术指标的要求，鉴于其针对的5号标准胶，过低的门尼粘度及塑性初值会影响天然胶的物理性能，较低的塑性保持率会影响胶料的老化性能，故根据表5显示，将塑性初值P</w:t>
      </w:r>
      <w:r>
        <w:rPr>
          <w:rFonts w:hint="eastAsia" w:ascii="Times New Roman" w:hAnsi="Times New Roman" w:eastAsia="仿宋_GB2312" w:cs="Times New Roman"/>
          <w:sz w:val="32"/>
          <w:vertAlign w:val="subscript"/>
          <w14:ligatures w14:val="none"/>
        </w:rPr>
        <w:t>0</w:t>
      </w:r>
      <w:r>
        <w:rPr>
          <w:rFonts w:hint="eastAsia" w:ascii="Times New Roman" w:hAnsi="Times New Roman" w:eastAsia="仿宋_GB2312" w:cs="Times New Roman"/>
          <w:sz w:val="32"/>
          <w14:ligatures w14:val="none"/>
        </w:rPr>
        <w:t>指标优化为“≥30”，将塑性保持率PRI指标优化为“≥40”。表5显示，具有可行性。</w:t>
      </w:r>
    </w:p>
    <w:p w14:paraId="3E716211">
      <w:pPr>
        <w:numPr>
          <w:ilvl w:val="0"/>
          <w:numId w:val="4"/>
        </w:numPr>
        <w:spacing w:after="0" w:line="560" w:lineRule="exact"/>
        <w:ind w:firstLine="640" w:firstLineChars="200"/>
        <w:jc w:val="both"/>
        <w:rPr>
          <w:rFonts w:ascii="Times New Roman" w:hAnsi="Times New Roman" w:eastAsia="仿宋_GB2312" w:cs="Times New Roman"/>
          <w:sz w:val="32"/>
          <w14:ligatures w14:val="none"/>
        </w:rPr>
      </w:pPr>
      <w:r>
        <w:rPr>
          <w:rFonts w:hint="eastAsia" w:ascii="Times New Roman" w:hAnsi="Times New Roman" w:eastAsia="仿宋_GB2312" w:cs="Times New Roman"/>
          <w:sz w:val="32"/>
          <w14:ligatures w14:val="none"/>
        </w:rPr>
        <w:t>回弹值：现行标准中GB/T 8081-2008表准中没有关于回弹值的技术指标要求，然而，对于重卡轮胎类橡胶材料其回弹性能尤为重要，鉴于反复的实验测试结果分析，本标准对重卡轮胎材料的回弹值提出相应的技术要求，根据表5中的数据，将回弹值要求在“≥53”，具有可行性。</w:t>
      </w:r>
    </w:p>
    <w:p w14:paraId="1ECBFCDF">
      <w:pPr>
        <w:spacing w:after="0" w:line="560" w:lineRule="exact"/>
        <w:ind w:firstLine="643" w:firstLineChars="200"/>
        <w:jc w:val="both"/>
        <w:rPr>
          <w:rFonts w:ascii="Times New Roman" w:hAnsi="Times New Roman" w:eastAsia="楷体_GB2312" w:cs="Times New Roman"/>
          <w:b/>
          <w:bCs/>
          <w:sz w:val="32"/>
          <w14:ligatures w14:val="none"/>
        </w:rPr>
      </w:pPr>
      <w:r>
        <w:rPr>
          <w:rFonts w:ascii="Times New Roman" w:hAnsi="Times New Roman" w:eastAsia="楷体_GB2312" w:cs="Times New Roman"/>
          <w:b/>
          <w:bCs/>
          <w:sz w:val="32"/>
          <w14:ligatures w14:val="none"/>
        </w:rPr>
        <w:t>（二）技术经济论证、预期的经济效果</w:t>
      </w:r>
    </w:p>
    <w:p w14:paraId="12B0B08F">
      <w:pPr>
        <w:spacing w:after="0" w:line="560" w:lineRule="exact"/>
        <w:ind w:firstLine="640" w:firstLineChars="200"/>
        <w:jc w:val="both"/>
        <w:rPr>
          <w:rFonts w:ascii="Times New Roman" w:hAnsi="Times New Roman" w:eastAsia="仿宋_GB2312" w:cs="Times New Roman"/>
          <w:bCs/>
          <w:sz w:val="32"/>
          <w:szCs w:val="32"/>
          <w14:ligatures w14:val="none"/>
        </w:rPr>
      </w:pPr>
      <w:r>
        <w:rPr>
          <w:rFonts w:ascii="Times New Roman" w:hAnsi="Times New Roman" w:eastAsia="仿宋_GB2312" w:cs="Times New Roman"/>
          <w:sz w:val="32"/>
          <w:szCs w:val="32"/>
          <w14:ligatures w14:val="none"/>
        </w:rPr>
        <w:t>通过制定本标准，确定了</w:t>
      </w:r>
      <w:r>
        <w:rPr>
          <w:rFonts w:hint="eastAsia" w:ascii="Times New Roman" w:hAnsi="Times New Roman" w:eastAsia="仿宋_GB2312" w:cs="Times New Roman"/>
          <w:sz w:val="32"/>
          <w14:ligatures w14:val="none"/>
        </w:rPr>
        <w:t>重卡轮胎</w:t>
      </w:r>
      <w:r>
        <w:rPr>
          <w:rFonts w:hint="eastAsia" w:ascii="Times New Roman" w:hAnsi="Times New Roman" w:eastAsia="仿宋_GB2312" w:cs="Times New Roman"/>
          <w:sz w:val="32"/>
          <w:szCs w:val="32"/>
          <w14:ligatures w14:val="none"/>
        </w:rPr>
        <w:t>标准橡胶</w:t>
      </w:r>
      <w:r>
        <w:rPr>
          <w:rFonts w:ascii="Times New Roman" w:hAnsi="Times New Roman" w:eastAsia="仿宋_GB2312" w:cs="Times New Roman"/>
          <w:sz w:val="32"/>
          <w:szCs w:val="32"/>
          <w14:ligatures w14:val="none"/>
        </w:rPr>
        <w:t>的适用范围、规范性引用文件、要求、检验规则、包装、贮存与运输等内容。解决了目前</w:t>
      </w:r>
      <w:r>
        <w:rPr>
          <w:rFonts w:hint="eastAsia" w:ascii="Times New Roman" w:hAnsi="Times New Roman" w:eastAsia="仿宋_GB2312" w:cs="Times New Roman"/>
          <w:sz w:val="32"/>
          <w14:ligatures w14:val="none"/>
        </w:rPr>
        <w:t>重卡轮胎</w:t>
      </w:r>
      <w:r>
        <w:rPr>
          <w:rFonts w:hint="eastAsia" w:ascii="Times New Roman" w:hAnsi="Times New Roman" w:eastAsia="仿宋_GB2312" w:cs="Times New Roman"/>
          <w:sz w:val="32"/>
          <w:szCs w:val="32"/>
          <w14:ligatures w14:val="none"/>
        </w:rPr>
        <w:t>标准橡胶无法有效控制质量一致性的问题</w:t>
      </w:r>
      <w:r>
        <w:rPr>
          <w:rFonts w:ascii="Times New Roman" w:hAnsi="Times New Roman" w:eastAsia="仿宋_GB2312" w:cs="Times New Roman"/>
          <w:sz w:val="32"/>
          <w:szCs w:val="32"/>
          <w14:ligatures w14:val="none"/>
        </w:rPr>
        <w:t>，保障了</w:t>
      </w:r>
      <w:r>
        <w:rPr>
          <w:rFonts w:hint="eastAsia" w:ascii="Times New Roman" w:hAnsi="Times New Roman" w:eastAsia="仿宋_GB2312" w:cs="Times New Roman"/>
          <w:sz w:val="32"/>
          <w:szCs w:val="32"/>
          <w14:ligatures w14:val="none"/>
        </w:rPr>
        <w:t>重卡轮胎标准橡胶</w:t>
      </w:r>
      <w:r>
        <w:rPr>
          <w:rFonts w:ascii="Times New Roman" w:hAnsi="Times New Roman" w:eastAsia="仿宋_GB2312" w:cs="Times New Roman"/>
          <w:sz w:val="32"/>
          <w:szCs w:val="32"/>
          <w14:ligatures w14:val="none"/>
        </w:rPr>
        <w:t>的高质量和稳定供应，为</w:t>
      </w:r>
      <w:r>
        <w:rPr>
          <w:rFonts w:hint="eastAsia" w:ascii="Times New Roman" w:hAnsi="Times New Roman" w:eastAsia="仿宋_GB2312" w:cs="Times New Roman"/>
          <w:sz w:val="32"/>
          <w14:ligatures w14:val="none"/>
        </w:rPr>
        <w:t>重卡轮胎</w:t>
      </w:r>
      <w:r>
        <w:rPr>
          <w:rFonts w:hint="eastAsia" w:ascii="Times New Roman" w:hAnsi="Times New Roman" w:eastAsia="仿宋_GB2312" w:cs="Times New Roman"/>
          <w:sz w:val="32"/>
          <w:szCs w:val="32"/>
          <w14:ligatures w14:val="none"/>
        </w:rPr>
        <w:t>标准橡胶</w:t>
      </w:r>
      <w:r>
        <w:rPr>
          <w:rFonts w:ascii="Times New Roman" w:hAnsi="Times New Roman" w:eastAsia="仿宋_GB2312" w:cs="Times New Roman"/>
          <w:sz w:val="32"/>
          <w:szCs w:val="32"/>
          <w14:ligatures w14:val="none"/>
        </w:rPr>
        <w:t>初加工</w:t>
      </w:r>
      <w:r>
        <w:rPr>
          <w:rFonts w:hint="eastAsia" w:ascii="Times New Roman" w:hAnsi="Times New Roman" w:eastAsia="仿宋_GB2312" w:cs="Times New Roman"/>
          <w:sz w:val="32"/>
          <w:szCs w:val="32"/>
          <w14:ligatures w14:val="none"/>
        </w:rPr>
        <w:t>和应用企业</w:t>
      </w:r>
      <w:r>
        <w:rPr>
          <w:rFonts w:ascii="Times New Roman" w:hAnsi="Times New Roman" w:eastAsia="仿宋_GB2312" w:cs="Times New Roman"/>
          <w:sz w:val="32"/>
          <w:szCs w:val="32"/>
          <w14:ligatures w14:val="none"/>
        </w:rPr>
        <w:t>提供技术指标依据，促进了</w:t>
      </w:r>
      <w:r>
        <w:rPr>
          <w:rFonts w:hint="eastAsia" w:ascii="Times New Roman" w:hAnsi="Times New Roman" w:eastAsia="仿宋_GB2312" w:cs="Times New Roman"/>
          <w:sz w:val="32"/>
          <w14:ligatures w14:val="none"/>
        </w:rPr>
        <w:t>重卡轮胎</w:t>
      </w:r>
      <w:r>
        <w:rPr>
          <w:rFonts w:hint="eastAsia" w:ascii="Times New Roman" w:hAnsi="Times New Roman" w:eastAsia="仿宋_GB2312" w:cs="Times New Roman"/>
          <w:sz w:val="32"/>
          <w:szCs w:val="32"/>
          <w14:ligatures w14:val="none"/>
        </w:rPr>
        <w:t>标准橡胶加工、应用的</w:t>
      </w:r>
      <w:r>
        <w:rPr>
          <w:rFonts w:ascii="Times New Roman" w:hAnsi="Times New Roman" w:eastAsia="仿宋_GB2312" w:cs="Times New Roman"/>
          <w:sz w:val="32"/>
          <w:szCs w:val="32"/>
          <w14:ligatures w14:val="none"/>
        </w:rPr>
        <w:t>可持续、高质量发展。</w:t>
      </w:r>
    </w:p>
    <w:p w14:paraId="1F72249C">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四、采用国际标准和国外先进标准的程度</w:t>
      </w:r>
    </w:p>
    <w:p w14:paraId="24FE9878">
      <w:pPr>
        <w:spacing w:after="0" w:line="560" w:lineRule="exact"/>
        <w:ind w:firstLine="640" w:firstLineChars="200"/>
        <w:jc w:val="both"/>
        <w:rPr>
          <w:rFonts w:ascii="Times New Roman" w:hAnsi="Times New Roman" w:eastAsia="仿宋_GB2312" w:cs="Times New Roman"/>
          <w:sz w:val="32"/>
          <w:szCs w:val="32"/>
          <w14:ligatures w14:val="none"/>
        </w:rPr>
      </w:pPr>
      <w:r>
        <w:rPr>
          <w:rFonts w:hint="eastAsia" w:ascii="Times New Roman" w:hAnsi="Times New Roman" w:eastAsia="仿宋_GB2312" w:cs="Times New Roman"/>
          <w:sz w:val="32"/>
          <w:szCs w:val="32"/>
          <w14:ligatures w14:val="none"/>
        </w:rPr>
        <w:t xml:space="preserve">在国际上，天然橡胶重卡轮胎专用胶这一产品没有统一的国际标准 </w:t>
      </w:r>
      <w:r>
        <w:rPr>
          <w:rFonts w:ascii="Times New Roman" w:hAnsi="Times New Roman" w:eastAsia="仿宋_GB2312" w:cs="Times New Roman"/>
          <w:sz w:val="32"/>
          <w:szCs w:val="32"/>
          <w14:ligatures w14:val="none"/>
        </w:rPr>
        <w:t xml:space="preserve">ISO </w:t>
      </w:r>
      <w:r>
        <w:rPr>
          <w:rFonts w:hint="eastAsia" w:ascii="Times New Roman" w:hAnsi="Times New Roman" w:eastAsia="仿宋_GB2312" w:cs="Times New Roman"/>
          <w:sz w:val="32"/>
          <w:szCs w:val="32"/>
          <w14:ligatures w14:val="none"/>
        </w:rPr>
        <w:t>可借鉴。目前国内外没有适用于重卡轮胎科研生产</w:t>
      </w:r>
      <w:r>
        <w:rPr>
          <w:rFonts w:ascii="Times New Roman" w:hAnsi="Times New Roman" w:eastAsia="仿宋_GB2312" w:cs="Times New Roman"/>
          <w:sz w:val="32"/>
          <w:szCs w:val="32"/>
          <w14:ligatures w14:val="none"/>
        </w:rPr>
        <w:t>使用</w:t>
      </w:r>
      <w:r>
        <w:rPr>
          <w:rFonts w:hint="eastAsia" w:ascii="Times New Roman" w:hAnsi="Times New Roman" w:eastAsia="仿宋_GB2312" w:cs="Times New Roman"/>
          <w:sz w:val="32"/>
          <w:szCs w:val="32"/>
          <w14:ligatures w14:val="none"/>
        </w:rPr>
        <w:t>的天然橡胶规范。GB/T</w:t>
      </w:r>
      <w:r>
        <w:rPr>
          <w:rFonts w:ascii="Times New Roman" w:hAnsi="Times New Roman" w:eastAsia="仿宋_GB2312" w:cs="Times New Roman"/>
          <w:sz w:val="32"/>
          <w:szCs w:val="32"/>
          <w14:ligatures w14:val="none"/>
        </w:rPr>
        <w:t xml:space="preserve"> </w:t>
      </w:r>
      <w:r>
        <w:rPr>
          <w:rFonts w:hint="eastAsia" w:ascii="Times New Roman" w:hAnsi="Times New Roman" w:eastAsia="仿宋_GB2312" w:cs="Times New Roman"/>
          <w:sz w:val="32"/>
          <w:szCs w:val="32"/>
          <w14:ligatures w14:val="none"/>
        </w:rPr>
        <w:t>8089-2007《天然生胶烟胶片、白皱胶片和浅色皱胶片》、GB/T</w:t>
      </w:r>
      <w:r>
        <w:rPr>
          <w:rFonts w:ascii="Times New Roman" w:hAnsi="Times New Roman" w:eastAsia="仿宋_GB2312" w:cs="Times New Roman"/>
          <w:sz w:val="32"/>
          <w:szCs w:val="32"/>
          <w14:ligatures w14:val="none"/>
        </w:rPr>
        <w:t xml:space="preserve"> </w:t>
      </w:r>
      <w:r>
        <w:rPr>
          <w:rFonts w:hint="eastAsia" w:ascii="Times New Roman" w:hAnsi="Times New Roman" w:eastAsia="仿宋_GB2312" w:cs="Times New Roman"/>
          <w:sz w:val="32"/>
          <w:szCs w:val="32"/>
          <w14:ligatures w14:val="none"/>
        </w:rPr>
        <w:t>8081-2008/ISO</w:t>
      </w:r>
      <w:r>
        <w:rPr>
          <w:rFonts w:ascii="Times New Roman" w:hAnsi="Times New Roman" w:eastAsia="仿宋_GB2312" w:cs="Times New Roman"/>
          <w:sz w:val="32"/>
          <w:szCs w:val="32"/>
          <w14:ligatures w14:val="none"/>
        </w:rPr>
        <w:t xml:space="preserve"> </w:t>
      </w:r>
      <w:r>
        <w:rPr>
          <w:rFonts w:hint="eastAsia" w:ascii="Times New Roman" w:hAnsi="Times New Roman" w:eastAsia="仿宋_GB2312" w:cs="Times New Roman"/>
          <w:sz w:val="32"/>
          <w:szCs w:val="32"/>
          <w14:ligatures w14:val="none"/>
        </w:rPr>
        <w:t>2000:2003《天然生胶技术分级橡胶(TSR)规格导则》等天然橡胶通用标准，仅</w:t>
      </w:r>
      <w:r>
        <w:rPr>
          <w:rFonts w:ascii="Times New Roman" w:hAnsi="Times New Roman" w:eastAsia="仿宋_GB2312" w:cs="Times New Roman"/>
          <w:sz w:val="32"/>
          <w:szCs w:val="32"/>
          <w14:ligatures w14:val="none"/>
        </w:rPr>
        <w:t>规定了简单的理化指标及分级</w:t>
      </w:r>
      <w:r>
        <w:rPr>
          <w:rFonts w:hint="eastAsia" w:ascii="Times New Roman" w:hAnsi="Times New Roman" w:eastAsia="仿宋_GB2312" w:cs="Times New Roman"/>
          <w:sz w:val="32"/>
          <w:szCs w:val="32"/>
          <w14:ligatures w14:val="none"/>
        </w:rPr>
        <w:t>。在国内，目前没有与天然橡胶重卡轮胎专用胶相关的标准。</w:t>
      </w:r>
    </w:p>
    <w:p w14:paraId="186174DB">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五、与现行的法律法规和强制性国家标准的关系</w:t>
      </w:r>
    </w:p>
    <w:p w14:paraId="6DCCC3B5">
      <w:pPr>
        <w:spacing w:after="0" w:line="560" w:lineRule="exact"/>
        <w:ind w:firstLine="640" w:firstLineChars="200"/>
        <w:jc w:val="both"/>
        <w:rPr>
          <w:rFonts w:ascii="Times New Roman" w:hAnsi="Times New Roman" w:eastAsia="仿宋_GB2312" w:cs="Times New Roman"/>
          <w:sz w:val="32"/>
          <w:szCs w:val="32"/>
          <w14:ligatures w14:val="none"/>
        </w:rPr>
      </w:pPr>
      <w:r>
        <w:rPr>
          <w:rFonts w:ascii="Times New Roman" w:hAnsi="Times New Roman" w:eastAsia="仿宋_GB2312" w:cs="Times New Roman"/>
          <w:sz w:val="32"/>
          <w:szCs w:val="32"/>
          <w14:ligatures w14:val="none"/>
        </w:rPr>
        <w:t>本标准与有关现行的法律、法规和强制性标准没有冲突。</w:t>
      </w:r>
    </w:p>
    <w:p w14:paraId="637CE1E6">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六、重大分歧意见的处理经过和依据</w:t>
      </w:r>
    </w:p>
    <w:p w14:paraId="48F32B2A">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szCs w:val="32"/>
          <w14:ligatures w14:val="none"/>
        </w:rPr>
        <w:t>本标准修订过程中尚未出现重大分歧意见。</w:t>
      </w:r>
    </w:p>
    <w:p w14:paraId="33CBD8B4">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七、标准作为强制性或推荐性标准的建议</w:t>
      </w:r>
    </w:p>
    <w:p w14:paraId="2E454131">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szCs w:val="32"/>
          <w14:ligatures w14:val="none"/>
        </w:rPr>
        <w:t>建议本标准作为推荐性标准发布实施。</w:t>
      </w:r>
    </w:p>
    <w:p w14:paraId="31E2B970">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八、贯彻标准的要求和措施建议（包括组织实施、技术措施、过渡办法等）</w:t>
      </w:r>
    </w:p>
    <w:p w14:paraId="61F0BFD9">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（一）本标准宣贯时应包括下列内容：</w:t>
      </w:r>
    </w:p>
    <w:p w14:paraId="6BFCD094">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1. 介绍本标准修订的原因、过程及意义；</w:t>
      </w:r>
    </w:p>
    <w:p w14:paraId="5CDABB6B">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2. 介绍和解释本标准的主要技术内容；</w:t>
      </w:r>
    </w:p>
    <w:p w14:paraId="4E54E93D">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3. 本标准实施过程中可能遇到的问题及解决办法。</w:t>
      </w:r>
    </w:p>
    <w:p w14:paraId="2A849C2F">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（二）本标准宣贯时建议采用下列形式：</w:t>
      </w:r>
    </w:p>
    <w:p w14:paraId="3C687471">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1. 举办有关生产使用企业和检验机构的有关人员参加的标准宣贯培训班；</w:t>
      </w:r>
    </w:p>
    <w:p w14:paraId="0E47E3D4">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2. 由标准起草人员到有关企业和检验机构，对相关人员进行现场宣讲、示范操作。</w:t>
      </w:r>
    </w:p>
    <w:p w14:paraId="76FBE825">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（三）本标准建议的实施日期</w:t>
      </w:r>
    </w:p>
    <w:p w14:paraId="3905D31F">
      <w:pPr>
        <w:spacing w:after="0" w:line="560" w:lineRule="exact"/>
        <w:ind w:firstLine="42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本标准发布后，建议立即实施。</w:t>
      </w:r>
    </w:p>
    <w:p w14:paraId="2F811385">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九、废止现行有关标准的建议</w:t>
      </w:r>
    </w:p>
    <w:p w14:paraId="05D6A532">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无。</w:t>
      </w:r>
    </w:p>
    <w:p w14:paraId="168C1468">
      <w:pPr>
        <w:spacing w:after="0" w:line="560" w:lineRule="exact"/>
        <w:ind w:firstLine="640" w:firstLineChars="200"/>
        <w:jc w:val="both"/>
        <w:rPr>
          <w:rFonts w:ascii="Times New Roman" w:hAnsi="Times New Roman" w:eastAsia="黑体" w:cs="Times New Roman"/>
          <w:bCs/>
          <w:kern w:val="44"/>
          <w:sz w:val="32"/>
          <w14:ligatures w14:val="none"/>
        </w:rPr>
      </w:pPr>
      <w:r>
        <w:rPr>
          <w:rFonts w:ascii="Times New Roman" w:hAnsi="Times New Roman" w:eastAsia="黑体" w:cs="Times New Roman"/>
          <w:bCs/>
          <w:kern w:val="44"/>
          <w:sz w:val="32"/>
          <w14:ligatures w14:val="none"/>
        </w:rPr>
        <w:t>十、其他应予说明的事项</w:t>
      </w:r>
    </w:p>
    <w:p w14:paraId="0C828248">
      <w:pPr>
        <w:spacing w:after="0" w:line="240" w:lineRule="auto"/>
        <w:jc w:val="both"/>
        <w:rPr>
          <w:rFonts w:ascii="Times New Roman" w:hAnsi="Times New Roman" w:eastAsia="宋体" w:cs="Times New Roman"/>
          <w:sz w:val="21"/>
          <w14:ligatures w14:val="none"/>
        </w:rPr>
      </w:pPr>
    </w:p>
    <w:p w14:paraId="0B34C558">
      <w:pPr>
        <w:spacing w:after="0" w:line="560" w:lineRule="exact"/>
        <w:ind w:firstLine="640" w:firstLineChars="200"/>
        <w:jc w:val="both"/>
        <w:rPr>
          <w:rFonts w:ascii="Times New Roman" w:hAnsi="Times New Roman" w:eastAsia="仿宋_GB2312" w:cs="Times New Roman"/>
          <w:sz w:val="32"/>
          <w14:ligatures w14:val="none"/>
        </w:rPr>
      </w:pPr>
      <w:r>
        <w:rPr>
          <w:rFonts w:ascii="Times New Roman" w:hAnsi="Times New Roman" w:eastAsia="仿宋_GB2312" w:cs="Times New Roman"/>
          <w:sz w:val="32"/>
          <w14:ligatures w14:val="none"/>
        </w:rPr>
        <w:t>无。</w:t>
      </w:r>
    </w:p>
    <w:sectPr>
      <w:footerReference r:id="rId5" w:type="default"/>
      <w:pgSz w:w="11906" w:h="16838"/>
      <w:pgMar w:top="2098" w:right="1474" w:bottom="1985" w:left="1588" w:header="851" w:footer="992" w:gutter="0"/>
      <w:pgNumType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D4978">
    <w:pPr>
      <w:pStyle w:val="11"/>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6835" cy="175260"/>
              <wp:effectExtent l="0" t="0" r="0" b="0"/>
              <wp:wrapNone/>
              <wp:docPr id="15678708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6835" cy="175260"/>
                      </a:xfrm>
                      <a:prstGeom prst="rect">
                        <a:avLst/>
                      </a:prstGeom>
                      <a:noFill/>
                      <a:ln>
                        <a:noFill/>
                      </a:ln>
                    </wps:spPr>
                    <wps:txbx>
                      <w:txbxContent>
                        <w:p w14:paraId="1A1ACE9D">
                          <w:pPr>
                            <w:tabs>
                              <w:tab w:val="center" w:pos="4153"/>
                              <w:tab w:val="right" w:pos="8306"/>
                            </w:tabs>
                            <w:rPr>
                              <w:rFonts w:hint="eastAsia"/>
                            </w:rPr>
                          </w:pPr>
                          <w:r>
                            <w:rPr>
                              <w:sz w:val="24"/>
                            </w:rPr>
                            <w:fldChar w:fldCharType="begin"/>
                          </w:r>
                          <w:r>
                            <w:rPr>
                              <w:sz w:val="24"/>
                            </w:rPr>
                            <w:instrText xml:space="preserve"> PAGE  \* MERGEFORMAT </w:instrText>
                          </w:r>
                          <w:r>
                            <w:rPr>
                              <w:sz w:val="24"/>
                            </w:rPr>
                            <w:fldChar w:fldCharType="separate"/>
                          </w:r>
                          <w:r>
                            <w:rPr>
                              <w:sz w:val="24"/>
                            </w:rPr>
                            <w:t>16</w:t>
                          </w:r>
                          <w:r>
                            <w:rPr>
                              <w:sz w:val="24"/>
                            </w:rP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3.8pt;width:6.05pt;mso-position-horizontal:center;mso-position-horizontal-relative:margin;mso-wrap-style:none;z-index:251659264;mso-width-relative:page;mso-height-relative:page;" filled="f" stroked="f" coordsize="21600,21600" o:gfxdata="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rRHHHQAAAAAwEAAA8AAAAAAAAAAQAgAAAAIgAA&#10;AGRycy9kb3ducmV2LnhtbFBLAQIUABQAAAAIAIdO4kDIGHS4EAIAAAoEAAAOAAAAAAAAAAEAIAAA&#10;AB8BAABkcnMvZTJvRG9jLnhtbFBLBQYAAAAABgAGAFkBAAChBQAAAAA=&#10;">
              <v:fill on="f" focussize="0,0"/>
              <v:stroke on="f"/>
              <v:imagedata o:title=""/>
              <o:lock v:ext="edit" aspectratio="f"/>
              <v:textbox inset="0mm,0mm,0mm,0mm" style="mso-fit-shape-to-text:t;">
                <w:txbxContent>
                  <w:p w14:paraId="1A1ACE9D">
                    <w:pPr>
                      <w:tabs>
                        <w:tab w:val="center" w:pos="4153"/>
                        <w:tab w:val="right" w:pos="8306"/>
                      </w:tabs>
                      <w:rPr>
                        <w:rFonts w:hint="eastAsia"/>
                      </w:rPr>
                    </w:pPr>
                    <w:r>
                      <w:rPr>
                        <w:sz w:val="24"/>
                      </w:rPr>
                      <w:fldChar w:fldCharType="begin"/>
                    </w:r>
                    <w:r>
                      <w:rPr>
                        <w:sz w:val="24"/>
                      </w:rPr>
                      <w:instrText xml:space="preserve"> PAGE  \* MERGEFORMAT </w:instrText>
                    </w:r>
                    <w:r>
                      <w:rPr>
                        <w:sz w:val="24"/>
                      </w:rPr>
                      <w:fldChar w:fldCharType="separate"/>
                    </w:r>
                    <w:r>
                      <w:rPr>
                        <w:sz w:val="24"/>
                      </w:rPr>
                      <w:t>16</w:t>
                    </w:r>
                    <w:r>
                      <w:rPr>
                        <w:sz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725307"/>
    <w:multiLevelType w:val="singleLevel"/>
    <w:tmpl w:val="C5725307"/>
    <w:lvl w:ilvl="0" w:tentative="0">
      <w:start w:val="1"/>
      <w:numFmt w:val="decimal"/>
      <w:suff w:val="space"/>
      <w:lvlText w:val="%1."/>
      <w:lvlJc w:val="left"/>
    </w:lvl>
  </w:abstractNum>
  <w:abstractNum w:abstractNumId="1">
    <w:nsid w:val="D80D3AE4"/>
    <w:multiLevelType w:val="singleLevel"/>
    <w:tmpl w:val="D80D3AE4"/>
    <w:lvl w:ilvl="0" w:tentative="0">
      <w:start w:val="1"/>
      <w:numFmt w:val="decimal"/>
      <w:suff w:val="nothing"/>
      <w:lvlText w:val="（%1）"/>
      <w:lvlJc w:val="left"/>
    </w:lvl>
  </w:abstractNum>
  <w:abstractNum w:abstractNumId="2">
    <w:nsid w:val="2392BF90"/>
    <w:multiLevelType w:val="singleLevel"/>
    <w:tmpl w:val="2392BF90"/>
    <w:lvl w:ilvl="0" w:tentative="0">
      <w:start w:val="1"/>
      <w:numFmt w:val="decimal"/>
      <w:suff w:val="nothing"/>
      <w:lvlText w:val="（%1）"/>
      <w:lvlJc w:val="left"/>
    </w:lvl>
  </w:abstractNum>
  <w:abstractNum w:abstractNumId="3">
    <w:nsid w:val="27F13A3F"/>
    <w:multiLevelType w:val="singleLevel"/>
    <w:tmpl w:val="27F13A3F"/>
    <w:lvl w:ilvl="0" w:tentative="0">
      <w:start w:val="5"/>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D39"/>
    <w:rsid w:val="00001710"/>
    <w:rsid w:val="000316FF"/>
    <w:rsid w:val="00054F06"/>
    <w:rsid w:val="00066A45"/>
    <w:rsid w:val="00076449"/>
    <w:rsid w:val="001067BA"/>
    <w:rsid w:val="00160258"/>
    <w:rsid w:val="00167AB6"/>
    <w:rsid w:val="001E6361"/>
    <w:rsid w:val="0022741A"/>
    <w:rsid w:val="0032454D"/>
    <w:rsid w:val="003A0121"/>
    <w:rsid w:val="00666B49"/>
    <w:rsid w:val="00682415"/>
    <w:rsid w:val="006F06EF"/>
    <w:rsid w:val="006F070B"/>
    <w:rsid w:val="007B232E"/>
    <w:rsid w:val="00820858"/>
    <w:rsid w:val="00832B0F"/>
    <w:rsid w:val="00873C0E"/>
    <w:rsid w:val="008C3B7E"/>
    <w:rsid w:val="009044EA"/>
    <w:rsid w:val="00911C0B"/>
    <w:rsid w:val="00965068"/>
    <w:rsid w:val="00994D39"/>
    <w:rsid w:val="009B49D5"/>
    <w:rsid w:val="009E3904"/>
    <w:rsid w:val="009F0ED6"/>
    <w:rsid w:val="00A87B4D"/>
    <w:rsid w:val="00AD6FE9"/>
    <w:rsid w:val="00BA1A25"/>
    <w:rsid w:val="00C431B1"/>
    <w:rsid w:val="00C67BD8"/>
    <w:rsid w:val="00C8582B"/>
    <w:rsid w:val="00DC6568"/>
    <w:rsid w:val="00E15AE3"/>
    <w:rsid w:val="00E44D50"/>
    <w:rsid w:val="00E51B6B"/>
    <w:rsid w:val="00E81F99"/>
    <w:rsid w:val="00EA2436"/>
    <w:rsid w:val="00EC26A4"/>
    <w:rsid w:val="00EC40C7"/>
    <w:rsid w:val="00EC4ED0"/>
    <w:rsid w:val="00FA1D9E"/>
    <w:rsid w:val="00FA236A"/>
    <w:rsid w:val="00FB6293"/>
    <w:rsid w:val="00FC2199"/>
    <w:rsid w:val="64C65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spacing w:line="240" w:lineRule="auto"/>
    </w:pPr>
    <w:rPr>
      <w:sz w:val="18"/>
      <w:szCs w:val="18"/>
    </w:rPr>
  </w:style>
  <w:style w:type="paragraph" w:styleId="12">
    <w:name w:val="header"/>
    <w:basedOn w:val="1"/>
    <w:link w:val="36"/>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0"/>
    <w:pPr>
      <w:spacing w:after="0" w:line="240" w:lineRule="auto"/>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7"/>
    <w:link w:val="5"/>
    <w:semiHidden/>
    <w:qFormat/>
    <w:uiPriority w:val="9"/>
    <w:rPr>
      <w:rFonts w:cstheme="majorBidi"/>
      <w:color w:val="2F5597" w:themeColor="accent1" w:themeShade="BF"/>
      <w:sz w:val="28"/>
      <w:szCs w:val="28"/>
    </w:rPr>
  </w:style>
  <w:style w:type="character" w:customStyle="1" w:styleId="22">
    <w:name w:val="标题 5 字符"/>
    <w:basedOn w:val="17"/>
    <w:link w:val="6"/>
    <w:semiHidden/>
    <w:uiPriority w:val="9"/>
    <w:rPr>
      <w:rFonts w:cstheme="majorBidi"/>
      <w:color w:val="2F5597" w:themeColor="accent1" w:themeShade="BF"/>
      <w:sz w:val="24"/>
    </w:rPr>
  </w:style>
  <w:style w:type="character" w:customStyle="1" w:styleId="23">
    <w:name w:val="标题 6 字符"/>
    <w:basedOn w:val="17"/>
    <w:link w:val="7"/>
    <w:semiHidden/>
    <w:qFormat/>
    <w:uiPriority w:val="9"/>
    <w:rPr>
      <w:rFonts w:cstheme="majorBidi"/>
      <w:b/>
      <w:bCs/>
      <w:color w:val="2F5597" w:themeColor="accent1" w:themeShade="BF"/>
    </w:rPr>
  </w:style>
  <w:style w:type="character" w:customStyle="1" w:styleId="24">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7"/>
    <w:link w:val="33"/>
    <w:uiPriority w:val="30"/>
    <w:rPr>
      <w:i/>
      <w:iCs/>
      <w:color w:val="2F5597" w:themeColor="accent1" w:themeShade="BF"/>
    </w:rPr>
  </w:style>
  <w:style w:type="character" w:customStyle="1" w:styleId="35">
    <w:name w:val="Intense Reference"/>
    <w:basedOn w:val="17"/>
    <w:qFormat/>
    <w:uiPriority w:val="32"/>
    <w:rPr>
      <w:b/>
      <w:bCs/>
      <w:smallCaps/>
      <w:color w:val="2F5597" w:themeColor="accent1" w:themeShade="BF"/>
      <w:spacing w:val="5"/>
    </w:rPr>
  </w:style>
  <w:style w:type="character" w:customStyle="1" w:styleId="36">
    <w:name w:val="页眉 字符"/>
    <w:basedOn w:val="17"/>
    <w:link w:val="12"/>
    <w:uiPriority w:val="99"/>
    <w:rPr>
      <w:sz w:val="18"/>
      <w:szCs w:val="18"/>
    </w:rPr>
  </w:style>
  <w:style w:type="character" w:customStyle="1" w:styleId="37">
    <w:name w:val="页脚 字符"/>
    <w:basedOn w:val="17"/>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6752</Words>
  <Characters>7886</Characters>
  <Lines>355</Lines>
  <Paragraphs>408</Paragraphs>
  <TotalTime>178</TotalTime>
  <ScaleCrop>false</ScaleCrop>
  <LinksUpToDate>false</LinksUpToDate>
  <CharactersWithSpaces>8093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2025-09-17T05:35:00Z</dcterms:created>
  <dc:creator>纪元 崔</dc:creator>
  <cp:lastModifiedBy>吴勇</cp:lastModifiedBy>
  <dcterms:modified xsi:type="dcterms:W3CDTF">2025-09-28T01:14:28Z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eyJoZGlkIjoiODIwN2QzZWEyYWIxODZiZjA0MjIwNjBlZjFkMjk4NWYiLCJ1c2VySWQiOiIyOTY3MzMxOSJ9</vt:lpwstr>
  </property>
  <property fmtid="{D5CDD505-2E9C-101B-9397-08002B2CF9AE}" pid="3" name="KSOProductBuildVer">
    <vt:lpwstr>2052-12.1.0.22529</vt:lpwstr>
  </property>
  <property fmtid="{D5CDD505-2E9C-101B-9397-08002B2CF9AE}" pid="4" name="ICV">
    <vt:lpwstr>63D955D312C64BB79A85B237236000D3_12</vt:lpwstr>
  </property>
</Properties>
</file>